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D92" w:rsidRPr="00922D92" w:rsidRDefault="00922D92" w:rsidP="00922D92">
      <w:pPr>
        <w:spacing w:line="320" w:lineRule="exact"/>
        <w:jc w:val="center"/>
        <w:rPr>
          <w:b/>
          <w:sz w:val="20"/>
          <w:szCs w:val="20"/>
          <w:lang w:val="en-US"/>
        </w:rPr>
      </w:pPr>
      <w:r w:rsidRPr="00922D92">
        <w:rPr>
          <w:b/>
          <w:sz w:val="20"/>
          <w:szCs w:val="20"/>
          <w:lang w:val="en-US"/>
        </w:rPr>
        <w:t>MINISTRY OF EDUCATION AND SCIENSE OF THE RUSSIAN FEDERATION</w:t>
      </w:r>
    </w:p>
    <w:p w:rsidR="00922D92" w:rsidRPr="00922D92" w:rsidRDefault="00922D92" w:rsidP="00922D92">
      <w:pPr>
        <w:spacing w:line="320" w:lineRule="exact"/>
        <w:jc w:val="center"/>
        <w:rPr>
          <w:lang w:val="en-US"/>
        </w:rPr>
      </w:pPr>
    </w:p>
    <w:p w:rsidR="00922D92" w:rsidRPr="00922D92" w:rsidRDefault="00922D92" w:rsidP="00922D92">
      <w:pPr>
        <w:spacing w:line="320" w:lineRule="exact"/>
        <w:jc w:val="center"/>
        <w:rPr>
          <w:b/>
          <w:sz w:val="26"/>
          <w:szCs w:val="26"/>
          <w:lang w:val="en-US"/>
        </w:rPr>
      </w:pPr>
      <w:r w:rsidRPr="00922D92">
        <w:rPr>
          <w:b/>
          <w:sz w:val="26"/>
          <w:szCs w:val="26"/>
          <w:lang w:val="en-US"/>
        </w:rPr>
        <w:t>TOMSK STATE UNIVERSITY</w:t>
      </w:r>
    </w:p>
    <w:p w:rsidR="00922D92" w:rsidRPr="00922D92" w:rsidRDefault="00922D92" w:rsidP="00922D92">
      <w:pPr>
        <w:spacing w:line="320" w:lineRule="exact"/>
        <w:rPr>
          <w:b/>
          <w:sz w:val="26"/>
          <w:szCs w:val="26"/>
          <w:lang w:val="en-US"/>
        </w:rPr>
      </w:pPr>
    </w:p>
    <w:p w:rsidR="00922D92" w:rsidRPr="00B15422" w:rsidRDefault="00B15422" w:rsidP="00922D92">
      <w:pPr>
        <w:spacing w:line="320" w:lineRule="exact"/>
        <w:jc w:val="center"/>
        <w:rPr>
          <w:b/>
          <w:spacing w:val="36"/>
          <w:sz w:val="26"/>
          <w:szCs w:val="26"/>
          <w:lang w:val="en-US"/>
        </w:rPr>
      </w:pPr>
      <w:r>
        <w:rPr>
          <w:b/>
          <w:spacing w:val="36"/>
          <w:sz w:val="26"/>
          <w:szCs w:val="26"/>
          <w:lang w:val="en-US"/>
        </w:rPr>
        <w:t>PROGECT O</w:t>
      </w:r>
      <w:bookmarkStart w:id="0" w:name="_GoBack"/>
      <w:bookmarkEnd w:id="0"/>
      <w:r>
        <w:rPr>
          <w:b/>
          <w:spacing w:val="36"/>
          <w:sz w:val="26"/>
          <w:szCs w:val="26"/>
          <w:lang w:val="en-US"/>
        </w:rPr>
        <w:t>F THE</w:t>
      </w:r>
      <w:r w:rsidR="00922D92" w:rsidRPr="00B15422">
        <w:rPr>
          <w:b/>
          <w:color w:val="FF0000"/>
          <w:spacing w:val="36"/>
          <w:sz w:val="26"/>
          <w:szCs w:val="26"/>
          <w:lang w:val="en-US"/>
        </w:rPr>
        <w:t xml:space="preserve"> </w:t>
      </w:r>
      <w:r w:rsidR="00922D92" w:rsidRPr="00922D92">
        <w:rPr>
          <w:b/>
          <w:spacing w:val="36"/>
          <w:sz w:val="26"/>
          <w:szCs w:val="26"/>
          <w:lang w:val="en-US"/>
        </w:rPr>
        <w:t>ORDER</w:t>
      </w:r>
    </w:p>
    <w:p w:rsidR="00922D92" w:rsidRPr="00922D92" w:rsidRDefault="00922D92" w:rsidP="00922D92">
      <w:pPr>
        <w:spacing w:line="320" w:lineRule="exact"/>
        <w:jc w:val="center"/>
        <w:rPr>
          <w:b/>
          <w:sz w:val="26"/>
          <w:szCs w:val="26"/>
          <w:lang w:val="en-US"/>
        </w:rPr>
      </w:pPr>
    </w:p>
    <w:p w:rsidR="00922D92" w:rsidRPr="00922D92" w:rsidRDefault="00922D92" w:rsidP="00922D92">
      <w:pPr>
        <w:spacing w:line="320" w:lineRule="exact"/>
        <w:jc w:val="center"/>
        <w:rPr>
          <w:b/>
          <w:sz w:val="26"/>
          <w:szCs w:val="26"/>
          <w:lang w:val="en-US"/>
        </w:rPr>
      </w:pPr>
    </w:p>
    <w:p w:rsidR="00922D92" w:rsidRPr="00922D92" w:rsidRDefault="00922D92" w:rsidP="00922D92">
      <w:pPr>
        <w:spacing w:line="320" w:lineRule="exact"/>
        <w:jc w:val="center"/>
        <w:rPr>
          <w:b/>
          <w:sz w:val="26"/>
          <w:szCs w:val="26"/>
          <w:lang w:val="en-US"/>
        </w:rPr>
      </w:pPr>
    </w:p>
    <w:p w:rsidR="00922D92" w:rsidRPr="00922D92" w:rsidRDefault="00922D92" w:rsidP="00922D92">
      <w:pPr>
        <w:spacing w:line="320" w:lineRule="exact"/>
        <w:jc w:val="center"/>
        <w:rPr>
          <w:b/>
          <w:sz w:val="26"/>
          <w:szCs w:val="26"/>
          <w:lang w:val="en-US"/>
        </w:rPr>
      </w:pPr>
    </w:p>
    <w:p w:rsidR="00922D92" w:rsidRPr="00922D92" w:rsidRDefault="00922D92" w:rsidP="00922D92">
      <w:pPr>
        <w:spacing w:line="320" w:lineRule="exact"/>
        <w:rPr>
          <w:sz w:val="26"/>
          <w:szCs w:val="26"/>
          <w:lang w:val="en-US"/>
        </w:rPr>
      </w:pPr>
      <w:r w:rsidRPr="00922D92">
        <w:rPr>
          <w:sz w:val="26"/>
          <w:szCs w:val="26"/>
          <w:lang w:val="en-US"/>
        </w:rPr>
        <w:tab/>
      </w:r>
      <w:r w:rsidRPr="00922D92">
        <w:rPr>
          <w:sz w:val="26"/>
          <w:szCs w:val="26"/>
          <w:lang w:val="en-US"/>
        </w:rPr>
        <w:tab/>
      </w:r>
      <w:r w:rsidRPr="00922D92">
        <w:rPr>
          <w:sz w:val="26"/>
          <w:szCs w:val="26"/>
          <w:lang w:val="en-US"/>
        </w:rPr>
        <w:tab/>
      </w:r>
      <w:r w:rsidRPr="00922D92">
        <w:rPr>
          <w:sz w:val="26"/>
          <w:szCs w:val="26"/>
          <w:lang w:val="en-US"/>
        </w:rPr>
        <w:tab/>
      </w:r>
      <w:r w:rsidRPr="00922D92">
        <w:rPr>
          <w:sz w:val="26"/>
          <w:szCs w:val="26"/>
          <w:lang w:val="en-US"/>
        </w:rPr>
        <w:tab/>
        <w:t xml:space="preserve">                                                       №  </w:t>
      </w:r>
    </w:p>
    <w:p w:rsidR="00922D92" w:rsidRPr="00922D92" w:rsidRDefault="00922D92" w:rsidP="00922D92">
      <w:pPr>
        <w:spacing w:line="320" w:lineRule="exact"/>
        <w:rPr>
          <w:sz w:val="26"/>
          <w:szCs w:val="26"/>
          <w:lang w:val="en-US"/>
        </w:rPr>
      </w:pPr>
    </w:p>
    <w:p w:rsidR="00922D92" w:rsidRPr="00922D92" w:rsidRDefault="00922D92" w:rsidP="00922D92">
      <w:pPr>
        <w:spacing w:line="320" w:lineRule="exact"/>
        <w:jc w:val="both"/>
        <w:rPr>
          <w:sz w:val="26"/>
          <w:szCs w:val="26"/>
          <w:lang w:val="en-US"/>
        </w:rPr>
      </w:pPr>
      <w:r w:rsidRPr="00922D92">
        <w:rPr>
          <w:sz w:val="26"/>
          <w:szCs w:val="26"/>
          <w:lang w:val="en-US"/>
        </w:rPr>
        <w:t>On the International Academic Advisory Board</w:t>
      </w: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276" w:lineRule="auto"/>
        <w:ind w:firstLine="708"/>
        <w:jc w:val="both"/>
        <w:rPr>
          <w:sz w:val="26"/>
          <w:szCs w:val="26"/>
          <w:lang w:val="en-US"/>
        </w:rPr>
      </w:pPr>
      <w:r w:rsidRPr="00922D92">
        <w:rPr>
          <w:sz w:val="26"/>
          <w:szCs w:val="26"/>
          <w:lang w:val="en-US"/>
        </w:rPr>
        <w:t>To increase competitiveness of the National Research Tomsk State University among leading international research and education centers</w:t>
      </w:r>
    </w:p>
    <w:p w:rsidR="00922D92" w:rsidRPr="00922D92" w:rsidRDefault="00922D92" w:rsidP="00922D92">
      <w:pPr>
        <w:spacing w:before="120" w:after="120" w:line="276" w:lineRule="auto"/>
        <w:jc w:val="both"/>
        <w:rPr>
          <w:spacing w:val="20"/>
          <w:sz w:val="26"/>
          <w:szCs w:val="26"/>
        </w:rPr>
      </w:pPr>
      <w:r w:rsidRPr="00922D92">
        <w:rPr>
          <w:sz w:val="26"/>
          <w:szCs w:val="26"/>
          <w:lang w:val="en-US"/>
        </w:rPr>
        <w:t>I HEREBY ORDER</w:t>
      </w:r>
      <w:r w:rsidRPr="00922D92">
        <w:rPr>
          <w:spacing w:val="20"/>
          <w:sz w:val="26"/>
          <w:szCs w:val="26"/>
        </w:rPr>
        <w:t>:</w:t>
      </w:r>
    </w:p>
    <w:p w:rsidR="00922D92" w:rsidRPr="00922D92" w:rsidRDefault="00922D92" w:rsidP="00922D92">
      <w:pPr>
        <w:numPr>
          <w:ilvl w:val="0"/>
          <w:numId w:val="1"/>
        </w:numPr>
        <w:tabs>
          <w:tab w:val="clear" w:pos="1068"/>
          <w:tab w:val="num" w:pos="1134"/>
        </w:tabs>
        <w:spacing w:line="276" w:lineRule="auto"/>
        <w:rPr>
          <w:sz w:val="26"/>
          <w:szCs w:val="26"/>
          <w:lang w:val="en-US"/>
        </w:rPr>
      </w:pPr>
      <w:r w:rsidRPr="00922D92">
        <w:rPr>
          <w:sz w:val="26"/>
          <w:szCs w:val="26"/>
          <w:lang w:val="en-US"/>
        </w:rPr>
        <w:t>To establish the International Academic Advisory Board.</w:t>
      </w:r>
    </w:p>
    <w:p w:rsidR="00922D92" w:rsidRPr="00922D92" w:rsidRDefault="00922D92" w:rsidP="00922D92">
      <w:pPr>
        <w:numPr>
          <w:ilvl w:val="0"/>
          <w:numId w:val="1"/>
        </w:numPr>
        <w:tabs>
          <w:tab w:val="clear" w:pos="1068"/>
          <w:tab w:val="num" w:pos="1134"/>
        </w:tabs>
        <w:rPr>
          <w:sz w:val="26"/>
          <w:szCs w:val="26"/>
          <w:lang w:val="en-US"/>
        </w:rPr>
      </w:pPr>
      <w:r w:rsidRPr="00922D92">
        <w:rPr>
          <w:sz w:val="26"/>
          <w:szCs w:val="26"/>
          <w:lang w:val="en-US"/>
        </w:rPr>
        <w:t>To affirm the composition of the International Academic Advisory Board</w:t>
      </w:r>
    </w:p>
    <w:p w:rsidR="00922D92" w:rsidRPr="00922D92" w:rsidRDefault="00922D92" w:rsidP="00922D92">
      <w:pPr>
        <w:tabs>
          <w:tab w:val="num" w:pos="1134"/>
        </w:tabs>
        <w:ind w:left="1068"/>
        <w:rPr>
          <w:sz w:val="26"/>
          <w:szCs w:val="26"/>
        </w:rPr>
      </w:pPr>
      <w:r w:rsidRPr="00922D92">
        <w:rPr>
          <w:sz w:val="26"/>
          <w:szCs w:val="26"/>
          <w:lang w:val="en-US"/>
        </w:rPr>
        <w:t xml:space="preserve"> </w:t>
      </w:r>
      <w:r w:rsidRPr="00922D92">
        <w:rPr>
          <w:sz w:val="26"/>
          <w:szCs w:val="26"/>
        </w:rPr>
        <w:t>(</w:t>
      </w:r>
      <w:r w:rsidRPr="00922D92">
        <w:rPr>
          <w:sz w:val="26"/>
          <w:szCs w:val="26"/>
          <w:lang w:val="en-US"/>
        </w:rPr>
        <w:t>Appendix</w:t>
      </w:r>
      <w:r w:rsidRPr="00922D92">
        <w:rPr>
          <w:sz w:val="26"/>
          <w:szCs w:val="26"/>
        </w:rPr>
        <w:t xml:space="preserve"> № 1).</w:t>
      </w:r>
    </w:p>
    <w:p w:rsidR="00922D92" w:rsidRPr="00922D92" w:rsidRDefault="00922D92" w:rsidP="00922D92">
      <w:pPr>
        <w:numPr>
          <w:ilvl w:val="0"/>
          <w:numId w:val="1"/>
        </w:numPr>
        <w:tabs>
          <w:tab w:val="clear" w:pos="1068"/>
          <w:tab w:val="num" w:pos="1134"/>
        </w:tabs>
        <w:rPr>
          <w:sz w:val="26"/>
          <w:szCs w:val="26"/>
          <w:lang w:val="en-US"/>
        </w:rPr>
      </w:pPr>
      <w:r w:rsidRPr="00922D92">
        <w:rPr>
          <w:sz w:val="26"/>
          <w:szCs w:val="26"/>
          <w:lang w:val="en-US"/>
        </w:rPr>
        <w:t>To affirm Regulations on the International Academic Advisory Board</w:t>
      </w:r>
    </w:p>
    <w:p w:rsidR="00922D92" w:rsidRPr="00922D92" w:rsidRDefault="00922D92" w:rsidP="00922D92">
      <w:pPr>
        <w:tabs>
          <w:tab w:val="num" w:pos="1134"/>
        </w:tabs>
        <w:ind w:left="1068"/>
        <w:rPr>
          <w:sz w:val="26"/>
          <w:szCs w:val="26"/>
          <w:lang w:val="en-US"/>
        </w:rPr>
      </w:pPr>
      <w:r w:rsidRPr="00922D92">
        <w:rPr>
          <w:sz w:val="26"/>
          <w:szCs w:val="26"/>
          <w:lang w:val="en-US"/>
        </w:rPr>
        <w:t xml:space="preserve"> </w:t>
      </w:r>
      <w:proofErr w:type="gramStart"/>
      <w:r w:rsidRPr="00922D92">
        <w:rPr>
          <w:sz w:val="26"/>
          <w:szCs w:val="26"/>
          <w:lang w:val="en-US"/>
        </w:rPr>
        <w:t>(Appendix № 2).</w:t>
      </w:r>
      <w:proofErr w:type="gramEnd"/>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ind w:firstLine="708"/>
        <w:rPr>
          <w:sz w:val="26"/>
          <w:szCs w:val="26"/>
          <w:lang w:val="en-US"/>
        </w:rPr>
      </w:pPr>
    </w:p>
    <w:p w:rsidR="00922D92" w:rsidRPr="00922D92" w:rsidRDefault="00922D92" w:rsidP="00922D92">
      <w:pPr>
        <w:spacing w:line="320" w:lineRule="exact"/>
        <w:rPr>
          <w:sz w:val="26"/>
          <w:szCs w:val="26"/>
          <w:lang w:val="en-US"/>
        </w:rPr>
      </w:pPr>
    </w:p>
    <w:p w:rsidR="00922D92" w:rsidRPr="00922D92" w:rsidRDefault="00922D92" w:rsidP="00922D92">
      <w:pPr>
        <w:spacing w:line="320" w:lineRule="exact"/>
        <w:rPr>
          <w:sz w:val="26"/>
          <w:szCs w:val="26"/>
          <w:lang w:val="en-US"/>
        </w:rPr>
      </w:pPr>
      <w:r w:rsidRPr="00922D92">
        <w:rPr>
          <w:sz w:val="26"/>
          <w:szCs w:val="26"/>
          <w:lang w:val="en-US"/>
        </w:rPr>
        <w:t xml:space="preserve">Rector                                                                                                             G.V. Mayer          </w:t>
      </w:r>
    </w:p>
    <w:p w:rsidR="00922D92" w:rsidRPr="00922D92" w:rsidRDefault="00922D92" w:rsidP="00922D92">
      <w:pPr>
        <w:spacing w:line="320" w:lineRule="exact"/>
        <w:rPr>
          <w:sz w:val="26"/>
          <w:szCs w:val="26"/>
          <w:lang w:val="en-US"/>
        </w:rPr>
      </w:pPr>
    </w:p>
    <w:p w:rsidR="00922D92" w:rsidRPr="00922D92" w:rsidRDefault="00922D92" w:rsidP="00922D92">
      <w:pPr>
        <w:rPr>
          <w:sz w:val="26"/>
          <w:szCs w:val="26"/>
          <w:lang w:val="en-US"/>
        </w:rPr>
      </w:pPr>
    </w:p>
    <w:p w:rsidR="00922D92" w:rsidRPr="00922D92" w:rsidRDefault="00922D92" w:rsidP="00922D92">
      <w:pPr>
        <w:rPr>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447EAA" w:rsidRPr="00B15422" w:rsidRDefault="00447EAA"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B15422" w:rsidRDefault="00823AF4" w:rsidP="006B4CB6">
      <w:pPr>
        <w:rPr>
          <w:sz w:val="26"/>
          <w:szCs w:val="26"/>
          <w:lang w:val="en-US"/>
        </w:rPr>
      </w:pPr>
    </w:p>
    <w:p w:rsidR="00823AF4" w:rsidRPr="00823AF4" w:rsidRDefault="00823AF4" w:rsidP="00823AF4">
      <w:pPr>
        <w:ind w:left="6946"/>
        <w:rPr>
          <w:lang w:val="en-US"/>
        </w:rPr>
      </w:pPr>
      <w:r w:rsidRPr="00823AF4">
        <w:rPr>
          <w:lang w:val="en-US"/>
        </w:rPr>
        <w:lastRenderedPageBreak/>
        <w:t>Appendix № 1</w:t>
      </w:r>
    </w:p>
    <w:p w:rsidR="00823AF4" w:rsidRPr="00823AF4" w:rsidRDefault="00823AF4" w:rsidP="00823AF4">
      <w:pPr>
        <w:ind w:left="6946"/>
        <w:rPr>
          <w:lang w:val="en-US"/>
        </w:rPr>
      </w:pPr>
      <w:proofErr w:type="gramStart"/>
      <w:r w:rsidRPr="00823AF4">
        <w:rPr>
          <w:lang w:val="en-US"/>
        </w:rPr>
        <w:t>to</w:t>
      </w:r>
      <w:proofErr w:type="gramEnd"/>
      <w:r w:rsidRPr="00823AF4">
        <w:rPr>
          <w:lang w:val="en-US"/>
        </w:rPr>
        <w:t xml:space="preserve"> Order of the TSU</w:t>
      </w:r>
    </w:p>
    <w:p w:rsidR="00823AF4" w:rsidRPr="00823AF4" w:rsidRDefault="00823AF4" w:rsidP="00823AF4">
      <w:pPr>
        <w:ind w:left="6946"/>
        <w:rPr>
          <w:lang w:val="en-US"/>
        </w:rPr>
      </w:pPr>
      <w:proofErr w:type="gramStart"/>
      <w:r w:rsidRPr="00823AF4">
        <w:rPr>
          <w:lang w:val="en-US"/>
        </w:rPr>
        <w:t>dated</w:t>
      </w:r>
      <w:proofErr w:type="gramEnd"/>
      <w:r w:rsidRPr="00823AF4">
        <w:rPr>
          <w:lang w:val="en-US"/>
        </w:rPr>
        <w:t xml:space="preserve">       № </w:t>
      </w:r>
    </w:p>
    <w:p w:rsidR="00823AF4" w:rsidRPr="00823AF4" w:rsidRDefault="00823AF4" w:rsidP="00823AF4">
      <w:pPr>
        <w:jc w:val="right"/>
        <w:rPr>
          <w:spacing w:val="20"/>
          <w:lang w:val="en-US"/>
        </w:rPr>
      </w:pPr>
    </w:p>
    <w:p w:rsidR="00823AF4" w:rsidRPr="00823AF4" w:rsidRDefault="00823AF4" w:rsidP="00823AF4">
      <w:pPr>
        <w:jc w:val="right"/>
        <w:rPr>
          <w:i/>
          <w:spacing w:val="20"/>
          <w:lang w:val="en-US"/>
        </w:rPr>
      </w:pPr>
    </w:p>
    <w:p w:rsidR="00823AF4" w:rsidRPr="00823AF4" w:rsidRDefault="00823AF4" w:rsidP="00823AF4">
      <w:pPr>
        <w:jc w:val="center"/>
        <w:rPr>
          <w:lang w:val="en-US"/>
        </w:rPr>
      </w:pPr>
      <w:r w:rsidRPr="00823AF4">
        <w:rPr>
          <w:b/>
          <w:spacing w:val="20"/>
          <w:sz w:val="28"/>
          <w:szCs w:val="28"/>
          <w:lang w:val="en-US"/>
        </w:rPr>
        <w:t xml:space="preserve">COMPOSITION OF THE INTERNATIONAL ACADEMIC ADVISORY BOARD OF THE NATIONAL RESEARCH TOMSK STATE UNIVERSITY </w:t>
      </w:r>
    </w:p>
    <w:tbl>
      <w:tblPr>
        <w:tblW w:w="9464" w:type="dxa"/>
        <w:tblLook w:val="00A0" w:firstRow="1" w:lastRow="0" w:firstColumn="1" w:lastColumn="0" w:noHBand="0" w:noVBand="0"/>
      </w:tblPr>
      <w:tblGrid>
        <w:gridCol w:w="3227"/>
        <w:gridCol w:w="6237"/>
      </w:tblGrid>
      <w:tr w:rsidR="00823AF4" w:rsidRPr="00B15422" w:rsidTr="00652B43">
        <w:tc>
          <w:tcPr>
            <w:tcW w:w="3227" w:type="dxa"/>
          </w:tcPr>
          <w:p w:rsidR="00823AF4" w:rsidRPr="00823AF4" w:rsidRDefault="00823AF4" w:rsidP="00823AF4">
            <w:pPr>
              <w:jc w:val="both"/>
              <w:rPr>
                <w:sz w:val="28"/>
                <w:szCs w:val="28"/>
                <w:lang w:val="en-US"/>
              </w:rPr>
            </w:pPr>
          </w:p>
          <w:p w:rsidR="00823AF4" w:rsidRPr="00823AF4" w:rsidRDefault="00823AF4" w:rsidP="00823AF4">
            <w:pPr>
              <w:jc w:val="both"/>
              <w:rPr>
                <w:sz w:val="28"/>
                <w:szCs w:val="28"/>
                <w:lang w:val="en-US"/>
              </w:rPr>
            </w:pPr>
            <w:r w:rsidRPr="00823AF4">
              <w:rPr>
                <w:sz w:val="28"/>
                <w:szCs w:val="28"/>
                <w:lang w:val="en-US"/>
              </w:rPr>
              <w:t>Callaghan T.V.</w:t>
            </w:r>
          </w:p>
          <w:p w:rsidR="00823AF4" w:rsidRPr="00823AF4" w:rsidRDefault="00823AF4" w:rsidP="00823AF4">
            <w:pPr>
              <w:jc w:val="both"/>
              <w:rPr>
                <w:sz w:val="28"/>
                <w:szCs w:val="28"/>
                <w:lang w:val="en-US"/>
              </w:rPr>
            </w:pPr>
          </w:p>
          <w:p w:rsidR="00823AF4" w:rsidRPr="00823AF4" w:rsidRDefault="00823AF4" w:rsidP="00823AF4">
            <w:pPr>
              <w:rPr>
                <w:sz w:val="28"/>
                <w:szCs w:val="28"/>
                <w:lang w:val="en-US"/>
              </w:rPr>
            </w:pPr>
          </w:p>
          <w:p w:rsidR="00823AF4" w:rsidRPr="00823AF4" w:rsidRDefault="00823AF4" w:rsidP="00823AF4">
            <w:pPr>
              <w:rPr>
                <w:sz w:val="20"/>
                <w:szCs w:val="20"/>
                <w:lang w:val="en-US"/>
              </w:rPr>
            </w:pPr>
          </w:p>
          <w:p w:rsidR="00823AF4" w:rsidRPr="00823AF4" w:rsidRDefault="00823AF4" w:rsidP="00823AF4">
            <w:pPr>
              <w:jc w:val="both"/>
              <w:rPr>
                <w:sz w:val="20"/>
                <w:szCs w:val="20"/>
                <w:lang w:val="en-US"/>
              </w:rPr>
            </w:pPr>
          </w:p>
        </w:tc>
        <w:tc>
          <w:tcPr>
            <w:tcW w:w="6237" w:type="dxa"/>
          </w:tcPr>
          <w:p w:rsidR="00823AF4" w:rsidRPr="00823AF4" w:rsidRDefault="00823AF4" w:rsidP="00823AF4">
            <w:pPr>
              <w:ind w:left="34"/>
              <w:rPr>
                <w:sz w:val="28"/>
                <w:szCs w:val="28"/>
                <w:lang w:val="en-US"/>
              </w:rPr>
            </w:pPr>
          </w:p>
          <w:p w:rsidR="00823AF4" w:rsidRPr="00823AF4" w:rsidRDefault="00823AF4" w:rsidP="00823AF4">
            <w:pPr>
              <w:ind w:left="34"/>
              <w:rPr>
                <w:sz w:val="28"/>
                <w:szCs w:val="28"/>
                <w:lang w:val="en-US"/>
              </w:rPr>
            </w:pPr>
            <w:r w:rsidRPr="00823AF4">
              <w:rPr>
                <w:sz w:val="28"/>
                <w:szCs w:val="28"/>
                <w:lang w:val="en-US"/>
              </w:rPr>
              <w:t xml:space="preserve">- Distinguished Research Professor of the Royal Swedish Academy of Sciences, Nobel Peace Prize winner; Director and founder of the </w:t>
            </w:r>
            <w:proofErr w:type="spellStart"/>
            <w:r w:rsidRPr="00823AF4">
              <w:rPr>
                <w:sz w:val="28"/>
                <w:szCs w:val="28"/>
                <w:lang w:val="en-US"/>
              </w:rPr>
              <w:t>Abisko</w:t>
            </w:r>
            <w:proofErr w:type="spellEnd"/>
            <w:r w:rsidRPr="00823AF4">
              <w:rPr>
                <w:sz w:val="28"/>
                <w:szCs w:val="28"/>
                <w:lang w:val="en-US"/>
              </w:rPr>
              <w:t xml:space="preserve"> Station (Sweden) </w:t>
            </w:r>
          </w:p>
          <w:p w:rsidR="00823AF4" w:rsidRPr="00823AF4" w:rsidRDefault="00823AF4" w:rsidP="00823AF4">
            <w:pPr>
              <w:ind w:left="34"/>
              <w:rPr>
                <w:sz w:val="28"/>
                <w:szCs w:val="28"/>
                <w:lang w:val="en-US"/>
              </w:rPr>
            </w:pPr>
            <w:r w:rsidRPr="00823AF4">
              <w:rPr>
                <w:sz w:val="28"/>
                <w:szCs w:val="28"/>
                <w:lang w:val="en-US"/>
              </w:rPr>
              <w:t>(co-chairman of the Board)</w:t>
            </w:r>
          </w:p>
          <w:p w:rsidR="00823AF4" w:rsidRPr="00823AF4" w:rsidRDefault="00823AF4" w:rsidP="00823AF4">
            <w:pPr>
              <w:ind w:left="34"/>
              <w:rPr>
                <w:sz w:val="20"/>
                <w:szCs w:val="20"/>
                <w:lang w:val="en-US"/>
              </w:rPr>
            </w:pPr>
          </w:p>
        </w:tc>
      </w:tr>
      <w:tr w:rsidR="00823AF4" w:rsidRPr="00B15422" w:rsidTr="00652B43">
        <w:tc>
          <w:tcPr>
            <w:tcW w:w="3227" w:type="dxa"/>
          </w:tcPr>
          <w:p w:rsidR="00823AF4" w:rsidRPr="00823AF4" w:rsidRDefault="00823AF4" w:rsidP="00823AF4">
            <w:pPr>
              <w:jc w:val="both"/>
              <w:rPr>
                <w:sz w:val="28"/>
                <w:szCs w:val="28"/>
              </w:rPr>
            </w:pPr>
            <w:r w:rsidRPr="00823AF4">
              <w:rPr>
                <w:sz w:val="28"/>
                <w:szCs w:val="28"/>
                <w:lang w:val="en-US"/>
              </w:rPr>
              <w:t>Mayer</w:t>
            </w:r>
            <w:r w:rsidRPr="00823AF4">
              <w:rPr>
                <w:sz w:val="28"/>
                <w:szCs w:val="28"/>
              </w:rPr>
              <w:t xml:space="preserve"> </w:t>
            </w:r>
            <w:r w:rsidRPr="00823AF4">
              <w:rPr>
                <w:sz w:val="28"/>
                <w:szCs w:val="28"/>
                <w:lang w:val="en-US"/>
              </w:rPr>
              <w:t>G</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rector of the Tomsk State University </w:t>
            </w:r>
          </w:p>
          <w:p w:rsidR="00823AF4" w:rsidRPr="00823AF4" w:rsidRDefault="00823AF4" w:rsidP="00823AF4">
            <w:pPr>
              <w:ind w:left="34"/>
              <w:rPr>
                <w:sz w:val="28"/>
                <w:szCs w:val="28"/>
                <w:lang w:val="en-US"/>
              </w:rPr>
            </w:pPr>
            <w:r w:rsidRPr="00823AF4">
              <w:rPr>
                <w:sz w:val="28"/>
                <w:szCs w:val="28"/>
                <w:lang w:val="en-US"/>
              </w:rPr>
              <w:t>(co-chairman of the Board)</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Abrikosov</w:t>
            </w:r>
            <w:proofErr w:type="spellEnd"/>
            <w:r w:rsidRPr="00823AF4">
              <w:rPr>
                <w:sz w:val="28"/>
                <w:szCs w:val="28"/>
              </w:rPr>
              <w:t xml:space="preserve"> </w:t>
            </w:r>
            <w:r w:rsidRPr="00823AF4">
              <w:rPr>
                <w:sz w:val="28"/>
                <w:szCs w:val="28"/>
                <w:lang w:val="en-US"/>
              </w:rPr>
              <w:t>I</w:t>
            </w:r>
            <w:r w:rsidRPr="00823AF4">
              <w:rPr>
                <w:sz w:val="28"/>
                <w:szCs w:val="28"/>
              </w:rPr>
              <w:t>.</w:t>
            </w:r>
            <w:r w:rsidRPr="00823AF4">
              <w:rPr>
                <w:sz w:val="28"/>
                <w:szCs w:val="28"/>
                <w:lang w:val="en-US"/>
              </w:rPr>
              <w:t>A</w:t>
            </w:r>
            <w:r w:rsidRPr="00823AF4">
              <w:rPr>
                <w:sz w:val="28"/>
                <w:szCs w:val="28"/>
              </w:rPr>
              <w:t>.</w:t>
            </w:r>
          </w:p>
        </w:tc>
        <w:tc>
          <w:tcPr>
            <w:tcW w:w="6237" w:type="dxa"/>
          </w:tcPr>
          <w:p w:rsidR="00823AF4" w:rsidRPr="00823AF4" w:rsidRDefault="00823AF4" w:rsidP="00823AF4">
            <w:pPr>
              <w:ind w:left="34"/>
              <w:rPr>
                <w:sz w:val="28"/>
                <w:szCs w:val="20"/>
                <w:lang w:val="en-US"/>
              </w:rPr>
            </w:pPr>
            <w:r w:rsidRPr="00823AF4">
              <w:rPr>
                <w:sz w:val="28"/>
                <w:szCs w:val="28"/>
                <w:lang w:val="en-US"/>
              </w:rPr>
              <w:t>- Professor, Coordinator of International University Activities of the Department of Physics, Chemistry and Biology, Linköping University</w:t>
            </w:r>
            <w:r w:rsidRPr="00823AF4">
              <w:rPr>
                <w:sz w:val="28"/>
                <w:szCs w:val="20"/>
                <w:lang w:val="en-US"/>
              </w:rPr>
              <w:t xml:space="preserv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lang w:val="en-US"/>
              </w:rPr>
            </w:pPr>
            <w:proofErr w:type="spellStart"/>
            <w:r w:rsidRPr="00823AF4">
              <w:rPr>
                <w:sz w:val="28"/>
                <w:szCs w:val="28"/>
                <w:lang w:val="de-DE"/>
              </w:rPr>
              <w:t>Alferov</w:t>
            </w:r>
            <w:proofErr w:type="spellEnd"/>
            <w:r w:rsidRPr="00823AF4">
              <w:rPr>
                <w:sz w:val="28"/>
                <w:szCs w:val="28"/>
                <w:lang w:val="de-DE"/>
              </w:rPr>
              <w:t xml:space="preserve"> </w:t>
            </w:r>
            <w:r w:rsidRPr="00823AF4">
              <w:rPr>
                <w:sz w:val="28"/>
                <w:szCs w:val="28"/>
                <w:lang w:val="en-US"/>
              </w:rPr>
              <w:t>Z.A.</w:t>
            </w:r>
          </w:p>
        </w:tc>
        <w:tc>
          <w:tcPr>
            <w:tcW w:w="6237" w:type="dxa"/>
          </w:tcPr>
          <w:p w:rsidR="00823AF4" w:rsidRPr="00823AF4" w:rsidRDefault="00823AF4" w:rsidP="00823AF4">
            <w:pPr>
              <w:ind w:left="34"/>
              <w:rPr>
                <w:sz w:val="28"/>
                <w:szCs w:val="20"/>
                <w:lang w:val="en-US"/>
              </w:rPr>
            </w:pPr>
            <w:r w:rsidRPr="00823AF4">
              <w:rPr>
                <w:sz w:val="28"/>
                <w:szCs w:val="28"/>
                <w:lang w:val="en-US"/>
              </w:rPr>
              <w:t xml:space="preserve">- Nobel Prize winner, Vice-president of the Russian Academy of Sciences, rector-initiator of the St. Petersburg Academic University — Nanotechnology Research and Education Centre of the Russian Academy of Sciences (the Academic University), member of the State Duma Committee on Science and knowledge-based technologies, co-chairman of the Scientific Advisory Council of the </w:t>
            </w:r>
            <w:proofErr w:type="spellStart"/>
            <w:r w:rsidRPr="00823AF4">
              <w:rPr>
                <w:sz w:val="28"/>
                <w:szCs w:val="28"/>
                <w:lang w:val="en-US"/>
              </w:rPr>
              <w:t>Skolkovo</w:t>
            </w:r>
            <w:proofErr w:type="spellEnd"/>
            <w:r w:rsidRPr="00823AF4">
              <w:rPr>
                <w:sz w:val="28"/>
                <w:szCs w:val="28"/>
                <w:lang w:val="en-US"/>
              </w:rPr>
              <w:t xml:space="preserve"> Foundation, Academician of the RAS</w:t>
            </w:r>
            <w:r w:rsidRPr="00823AF4">
              <w:rPr>
                <w:sz w:val="28"/>
                <w:szCs w:val="20"/>
                <w:lang w:val="en-US"/>
              </w:rPr>
              <w:t xml:space="preserv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lang w:val="en-US"/>
              </w:rPr>
            </w:pPr>
          </w:p>
        </w:tc>
        <w:tc>
          <w:tcPr>
            <w:tcW w:w="6237" w:type="dxa"/>
          </w:tcPr>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Gitman</w:t>
            </w:r>
            <w:proofErr w:type="spellEnd"/>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Professor of the Department of Nuclear Physics, Institute of Physics, the University of Sao Paulo</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Dokholyan</w:t>
            </w:r>
            <w:proofErr w:type="spellEnd"/>
            <w:r w:rsidRPr="00823AF4">
              <w:rPr>
                <w:sz w:val="28"/>
                <w:szCs w:val="28"/>
              </w:rPr>
              <w:t xml:space="preserve"> </w:t>
            </w:r>
            <w:r w:rsidRPr="00823AF4">
              <w:rPr>
                <w:sz w:val="28"/>
                <w:szCs w:val="28"/>
                <w:lang w:val="en-US"/>
              </w:rPr>
              <w:t>N</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Director of Center for Computational and Systems Biology, the University of North Carolina at Chapel Hill; Associate Director of the Molecular and Cellular Biophysics Program</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 xml:space="preserve">) </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Ignatiev</w:t>
            </w:r>
            <w:proofErr w:type="spellEnd"/>
            <w:r w:rsidRPr="00823AF4">
              <w:rPr>
                <w:sz w:val="28"/>
                <w:szCs w:val="28"/>
              </w:rPr>
              <w:t xml:space="preserve"> А.</w:t>
            </w: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lang w:val="en-US"/>
              </w:rPr>
            </w:pPr>
            <w:r w:rsidRPr="00823AF4">
              <w:rPr>
                <w:sz w:val="28"/>
                <w:szCs w:val="28"/>
                <w:lang w:val="en-US"/>
              </w:rPr>
              <w:t xml:space="preserve">- Distinguished University Professor of Physics, Chemistry, and Electrical and Computer Engineering, Director of the Center for Advanced Materials, Director of Alternative Energy Research Institute of the University of Houston; World Class University Professor at the </w:t>
            </w:r>
            <w:proofErr w:type="spellStart"/>
            <w:r w:rsidRPr="00823AF4">
              <w:rPr>
                <w:sz w:val="28"/>
                <w:szCs w:val="28"/>
                <w:lang w:val="en-US"/>
              </w:rPr>
              <w:t>Gwangju</w:t>
            </w:r>
            <w:proofErr w:type="spellEnd"/>
            <w:r w:rsidRPr="00823AF4">
              <w:rPr>
                <w:sz w:val="28"/>
                <w:szCs w:val="28"/>
                <w:lang w:val="en-US"/>
              </w:rPr>
              <w:t xml:space="preserve"> Institute of Science and Technology, </w:t>
            </w:r>
            <w:proofErr w:type="spellStart"/>
            <w:r w:rsidRPr="00823AF4">
              <w:rPr>
                <w:sz w:val="28"/>
                <w:szCs w:val="28"/>
                <w:lang w:val="en-US"/>
              </w:rPr>
              <w:t>Gwangju</w:t>
            </w:r>
            <w:proofErr w:type="spellEnd"/>
            <w:r w:rsidRPr="00823AF4">
              <w:rPr>
                <w:sz w:val="28"/>
                <w:szCs w:val="28"/>
                <w:lang w:val="en-US"/>
              </w:rPr>
              <w:t xml:space="preserve">, South Korea; Member of Technical Advisory Board, Unity Semiconductor Corp., San Jose, CA; Chief Technology Officer of the </w:t>
            </w:r>
            <w:proofErr w:type="spellStart"/>
            <w:r w:rsidRPr="00823AF4">
              <w:rPr>
                <w:sz w:val="28"/>
                <w:szCs w:val="28"/>
                <w:lang w:val="en-US"/>
              </w:rPr>
              <w:t>Quarius</w:t>
            </w:r>
            <w:proofErr w:type="spellEnd"/>
            <w:r w:rsidRPr="00823AF4">
              <w:rPr>
                <w:sz w:val="28"/>
                <w:szCs w:val="28"/>
                <w:lang w:val="en-US"/>
              </w:rPr>
              <w:t xml:space="preserve"> Technologies, Inc., Fort Worth, TX; Member of the Board of Directors of the Applied Optoelectronics, Inc., Houston, TX</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Kovas</w:t>
            </w:r>
            <w:proofErr w:type="spellEnd"/>
            <w:r w:rsidRPr="00823AF4">
              <w:rPr>
                <w:sz w:val="28"/>
                <w:szCs w:val="28"/>
              </w:rPr>
              <w:t xml:space="preserve"> </w:t>
            </w:r>
            <w:r w:rsidRPr="00823AF4">
              <w:rPr>
                <w:sz w:val="28"/>
                <w:szCs w:val="28"/>
                <w:lang w:val="en-US"/>
              </w:rPr>
              <w:t>Y</w:t>
            </w:r>
            <w:r w:rsidRPr="00823AF4">
              <w:rPr>
                <w:sz w:val="28"/>
                <w:szCs w:val="28"/>
              </w:rPr>
              <w:t>.</w:t>
            </w:r>
            <w:r w:rsidRPr="00823AF4">
              <w:rPr>
                <w:sz w:val="28"/>
                <w:szCs w:val="28"/>
                <w:lang w:val="en-US"/>
              </w:rPr>
              <w:t>V</w:t>
            </w:r>
            <w:r w:rsidRPr="00823AF4">
              <w:rPr>
                <w:sz w:val="28"/>
                <w:szCs w:val="28"/>
              </w:rPr>
              <w:t>.</w:t>
            </w:r>
          </w:p>
        </w:tc>
        <w:tc>
          <w:tcPr>
            <w:tcW w:w="6237" w:type="dxa"/>
          </w:tcPr>
          <w:p w:rsidR="00823AF4" w:rsidRPr="00823AF4" w:rsidRDefault="00823AF4" w:rsidP="00823AF4">
            <w:pPr>
              <w:ind w:left="34"/>
              <w:rPr>
                <w:bCs/>
                <w:sz w:val="28"/>
                <w:szCs w:val="28"/>
                <w:lang w:val="en-US"/>
              </w:rPr>
            </w:pPr>
            <w:r w:rsidRPr="00823AF4">
              <w:rPr>
                <w:sz w:val="28"/>
                <w:szCs w:val="28"/>
                <w:lang w:val="en-US"/>
              </w:rPr>
              <w:t>- Director of the International Laboratory for Interdisciplinary Innovative Investigations into Individual Differences in Learning (</w:t>
            </w:r>
            <w:proofErr w:type="spellStart"/>
            <w:r w:rsidRPr="00823AF4">
              <w:rPr>
                <w:sz w:val="28"/>
                <w:szCs w:val="28"/>
                <w:lang w:val="en-US"/>
              </w:rPr>
              <w:t>InLab</w:t>
            </w:r>
            <w:proofErr w:type="spellEnd"/>
            <w:r w:rsidRPr="00823AF4">
              <w:rPr>
                <w:sz w:val="28"/>
                <w:szCs w:val="28"/>
                <w:lang w:val="en-US"/>
              </w:rPr>
              <w:t>), lecturer in psychology, Psychology Department, Goldsmiths College, University of London; visiting fellow of the SGDP Centre, King’s College, University of London</w:t>
            </w:r>
          </w:p>
          <w:p w:rsidR="00823AF4" w:rsidRPr="00823AF4" w:rsidRDefault="00823AF4" w:rsidP="00823AF4">
            <w:pPr>
              <w:ind w:left="34"/>
              <w:rPr>
                <w:bCs/>
                <w:sz w:val="28"/>
                <w:szCs w:val="28"/>
              </w:rPr>
            </w:pPr>
            <w:r w:rsidRPr="00823AF4">
              <w:rPr>
                <w:sz w:val="28"/>
                <w:szCs w:val="20"/>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rPr>
                <w:sz w:val="28"/>
                <w:szCs w:val="28"/>
              </w:rPr>
            </w:pPr>
          </w:p>
        </w:tc>
      </w:tr>
      <w:tr w:rsidR="00823AF4" w:rsidRPr="00823AF4" w:rsidTr="00652B43">
        <w:tc>
          <w:tcPr>
            <w:tcW w:w="3227" w:type="dxa"/>
          </w:tcPr>
          <w:p w:rsidR="00823AF4" w:rsidRPr="00823AF4" w:rsidRDefault="00823AF4" w:rsidP="00823AF4">
            <w:pPr>
              <w:jc w:val="both"/>
              <w:rPr>
                <w:sz w:val="28"/>
                <w:szCs w:val="28"/>
              </w:rPr>
            </w:pPr>
            <w:r w:rsidRPr="00823AF4">
              <w:rPr>
                <w:sz w:val="28"/>
                <w:szCs w:val="28"/>
                <w:lang w:val="en-US"/>
              </w:rPr>
              <w:t>Levin</w:t>
            </w:r>
            <w:r w:rsidRPr="00823AF4">
              <w:rPr>
                <w:sz w:val="28"/>
                <w:szCs w:val="28"/>
              </w:rPr>
              <w:t xml:space="preserve"> </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Honorary Research Fellow at the Humanities Research Institute of the University of Sheffield</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Pergamenshchikov</w:t>
            </w:r>
            <w:proofErr w:type="spellEnd"/>
            <w:r w:rsidRPr="00823AF4">
              <w:rPr>
                <w:rFonts w:eastAsia="Calibri"/>
                <w:color w:val="000000"/>
                <w:sz w:val="28"/>
                <w:szCs w:val="28"/>
              </w:rPr>
              <w:t xml:space="preserve"> </w:t>
            </w:r>
            <w:r w:rsidRPr="00823AF4">
              <w:rPr>
                <w:rFonts w:eastAsia="Calibri"/>
                <w:color w:val="000000"/>
                <w:sz w:val="28"/>
                <w:szCs w:val="28"/>
                <w:lang w:val="en-US"/>
              </w:rPr>
              <w:t>S</w:t>
            </w:r>
            <w:r w:rsidRPr="00823AF4">
              <w:rPr>
                <w:rFonts w:eastAsia="Calibri"/>
                <w:color w:val="000000"/>
                <w:sz w:val="28"/>
                <w:szCs w:val="28"/>
              </w:rPr>
              <w:t>.</w:t>
            </w:r>
            <w:r w:rsidRPr="00823AF4">
              <w:rPr>
                <w:rFonts w:eastAsia="Calibri"/>
                <w:color w:val="000000"/>
                <w:sz w:val="28"/>
                <w:szCs w:val="28"/>
                <w:lang w:val="en-US"/>
              </w:rPr>
              <w:t>M</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Professor, Head of the mathematical statistics team at the Laboratory of Mathematics Raphael Salem of University of Rouen and CNRS (UMR 6085 CNRS)</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Pokrovsky</w:t>
            </w:r>
            <w:proofErr w:type="spellEnd"/>
            <w:r w:rsidRPr="00823AF4">
              <w:rPr>
                <w:rFonts w:eastAsia="Calibri"/>
                <w:color w:val="000000"/>
                <w:sz w:val="28"/>
                <w:szCs w:val="28"/>
              </w:rPr>
              <w:t xml:space="preserve"> </w:t>
            </w:r>
            <w:r w:rsidRPr="00823AF4">
              <w:rPr>
                <w:rFonts w:eastAsia="Calibri"/>
                <w:color w:val="000000"/>
                <w:sz w:val="28"/>
                <w:szCs w:val="28"/>
                <w:lang w:val="en-US"/>
              </w:rPr>
              <w:t>O</w:t>
            </w:r>
            <w:r w:rsidRPr="00823AF4">
              <w:rPr>
                <w:rFonts w:eastAsia="Calibri"/>
                <w:color w:val="000000"/>
                <w:sz w:val="28"/>
                <w:szCs w:val="28"/>
              </w:rPr>
              <w:t>.</w:t>
            </w:r>
            <w:r w:rsidRPr="00823AF4">
              <w:rPr>
                <w:rFonts w:eastAsia="Calibri"/>
                <w:color w:val="000000"/>
                <w:sz w:val="28"/>
                <w:szCs w:val="28"/>
                <w:lang w:val="en-US"/>
              </w:rPr>
              <w:t>S</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Senior Researcher at the National Center of Researchers of France (CNRS), Observatory Midi-</w:t>
            </w:r>
            <w:proofErr w:type="spellStart"/>
            <w:r w:rsidRPr="00823AF4">
              <w:rPr>
                <w:sz w:val="28"/>
                <w:szCs w:val="28"/>
                <w:lang w:val="en-US"/>
              </w:rPr>
              <w:t>Perenees</w:t>
            </w:r>
            <w:proofErr w:type="spellEnd"/>
            <w:r w:rsidRPr="00823AF4">
              <w:rPr>
                <w:sz w:val="28"/>
                <w:szCs w:val="28"/>
                <w:lang w:val="en-US"/>
              </w:rPr>
              <w:t xml:space="preserve"> (Toulouse, France); Laboratory Coordinator at the European Associated Laboratory of Environmental Geochemistry (LEA LEAGE) </w:t>
            </w:r>
          </w:p>
          <w:p w:rsidR="00823AF4" w:rsidRPr="00823AF4" w:rsidRDefault="00823AF4" w:rsidP="00823AF4">
            <w:pPr>
              <w:ind w:left="34"/>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Pourdehnad</w:t>
            </w:r>
            <w:proofErr w:type="spellEnd"/>
            <w:r w:rsidRPr="00823AF4">
              <w:rPr>
                <w:rFonts w:eastAsia="Calibri"/>
                <w:color w:val="000000"/>
                <w:sz w:val="28"/>
                <w:szCs w:val="28"/>
                <w:lang w:val="en-US"/>
              </w:rPr>
              <w:t xml:space="preserve"> J</w:t>
            </w:r>
            <w:r w:rsidRPr="00823AF4">
              <w:rPr>
                <w:rFonts w:eastAsia="Calibri"/>
                <w:color w:val="000000"/>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w:t>
            </w:r>
            <w:r w:rsidRPr="00823AF4">
              <w:rPr>
                <w:sz w:val="28"/>
                <w:szCs w:val="20"/>
                <w:lang w:val="en-US"/>
              </w:rPr>
              <w:t xml:space="preserve">Professor at the University of Pennsylvania; Associate director of the </w:t>
            </w:r>
            <w:proofErr w:type="spellStart"/>
            <w:r w:rsidRPr="00823AF4">
              <w:rPr>
                <w:sz w:val="28"/>
                <w:szCs w:val="20"/>
                <w:lang w:val="en-US"/>
              </w:rPr>
              <w:t>Ackoff</w:t>
            </w:r>
            <w:proofErr w:type="spellEnd"/>
            <w:r w:rsidRPr="00823AF4">
              <w:rPr>
                <w:sz w:val="28"/>
                <w:szCs w:val="20"/>
                <w:lang w:val="en-US"/>
              </w:rPr>
              <w:t xml:space="preserve"> </w:t>
            </w:r>
            <w:proofErr w:type="spellStart"/>
            <w:r w:rsidRPr="00823AF4">
              <w:rPr>
                <w:sz w:val="28"/>
                <w:szCs w:val="20"/>
                <w:lang w:val="en-US"/>
              </w:rPr>
              <w:t>Collaboratory</w:t>
            </w:r>
            <w:proofErr w:type="spellEnd"/>
            <w:r w:rsidRPr="00823AF4">
              <w:rPr>
                <w:sz w:val="28"/>
                <w:szCs w:val="20"/>
                <w:lang w:val="en-US"/>
              </w:rPr>
              <w:t xml:space="preserve"> for Advancing Systems Approach at the University of Pennsylvania</w:t>
            </w:r>
          </w:p>
          <w:p w:rsidR="00823AF4" w:rsidRPr="00823AF4" w:rsidRDefault="00823AF4" w:rsidP="00823AF4">
            <w:pPr>
              <w:autoSpaceDE w:val="0"/>
              <w:autoSpaceDN w:val="0"/>
              <w:adjustRightInd w:val="0"/>
              <w:ind w:left="34"/>
              <w:rPr>
                <w:sz w:val="28"/>
                <w:szCs w:val="28"/>
              </w:rPr>
            </w:pPr>
            <w:r w:rsidRPr="00823AF4">
              <w:rPr>
                <w:sz w:val="28"/>
                <w:szCs w:val="20"/>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rPr>
                <w:sz w:val="28"/>
                <w:szCs w:val="28"/>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Solioz</w:t>
            </w:r>
            <w:proofErr w:type="spellEnd"/>
            <w:r w:rsidRPr="00823AF4">
              <w:rPr>
                <w:sz w:val="28"/>
                <w:szCs w:val="28"/>
              </w:rPr>
              <w:t xml:space="preserve"> </w:t>
            </w:r>
            <w:r w:rsidRPr="00823AF4">
              <w:rPr>
                <w:sz w:val="28"/>
                <w:szCs w:val="28"/>
                <w:lang w:val="en-US"/>
              </w:rPr>
              <w:t>M</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 xml:space="preserve">- </w:t>
            </w:r>
            <w:r w:rsidRPr="00823AF4">
              <w:rPr>
                <w:sz w:val="28"/>
                <w:szCs w:val="20"/>
                <w:lang w:val="en-US"/>
              </w:rPr>
              <w:t>Professor of Biochemistry, Head of the Copper Lab of University of Bern</w:t>
            </w:r>
          </w:p>
          <w:p w:rsidR="00823AF4" w:rsidRPr="00823AF4" w:rsidRDefault="00823AF4" w:rsidP="00823AF4">
            <w:pPr>
              <w:tabs>
                <w:tab w:val="left" w:pos="34"/>
              </w:tabs>
              <w:ind w:left="34"/>
              <w:jc w:val="both"/>
              <w:rPr>
                <w:sz w:val="28"/>
                <w:szCs w:val="28"/>
                <w:lang w:val="en-US"/>
              </w:rPr>
            </w:pPr>
            <w:r w:rsidRPr="00823AF4">
              <w:rPr>
                <w:sz w:val="28"/>
                <w:szCs w:val="20"/>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0"/>
              </w:rPr>
              <w:t>)</w:t>
            </w:r>
          </w:p>
          <w:p w:rsidR="00823AF4" w:rsidRPr="00823AF4" w:rsidRDefault="00823AF4" w:rsidP="00823AF4">
            <w:pPr>
              <w:ind w:left="34"/>
              <w:jc w:val="both"/>
              <w:rPr>
                <w:sz w:val="28"/>
                <w:szCs w:val="28"/>
                <w:lang w:val="en-US"/>
              </w:rPr>
            </w:pPr>
          </w:p>
        </w:tc>
      </w:tr>
      <w:tr w:rsidR="00823AF4" w:rsidRPr="00823AF4" w:rsidTr="00652B43">
        <w:tc>
          <w:tcPr>
            <w:tcW w:w="3227" w:type="dxa"/>
          </w:tcPr>
          <w:p w:rsidR="00823AF4" w:rsidRPr="00823AF4" w:rsidRDefault="00823AF4" w:rsidP="00823AF4">
            <w:pPr>
              <w:jc w:val="both"/>
              <w:rPr>
                <w:sz w:val="28"/>
                <w:szCs w:val="28"/>
              </w:rPr>
            </w:pPr>
            <w:r w:rsidRPr="00823AF4">
              <w:rPr>
                <w:sz w:val="28"/>
                <w:szCs w:val="28"/>
                <w:lang w:val="en-US"/>
              </w:rPr>
              <w:t>Funk</w:t>
            </w:r>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A</w:t>
            </w:r>
            <w:r w:rsidRPr="00823AF4">
              <w:rPr>
                <w:sz w:val="28"/>
                <w:szCs w:val="28"/>
              </w:rPr>
              <w:t>.</w:t>
            </w:r>
          </w:p>
        </w:tc>
        <w:tc>
          <w:tcPr>
            <w:tcW w:w="6237" w:type="dxa"/>
          </w:tcPr>
          <w:p w:rsidR="00823AF4" w:rsidRPr="00823AF4" w:rsidRDefault="00823AF4" w:rsidP="00823AF4">
            <w:pPr>
              <w:ind w:left="34"/>
              <w:jc w:val="both"/>
              <w:rPr>
                <w:sz w:val="28"/>
                <w:szCs w:val="20"/>
                <w:lang w:val="en-US"/>
              </w:rPr>
            </w:pPr>
            <w:r w:rsidRPr="00823AF4">
              <w:rPr>
                <w:sz w:val="28"/>
                <w:szCs w:val="28"/>
                <w:lang w:val="en-US"/>
              </w:rPr>
              <w:t xml:space="preserve">- </w:t>
            </w:r>
            <w:r w:rsidRPr="00823AF4">
              <w:rPr>
                <w:sz w:val="28"/>
                <w:szCs w:val="20"/>
                <w:lang w:val="en-US"/>
              </w:rPr>
              <w:t xml:space="preserve">Professor, Head of the Department of Northern and         Siberian Studies, N.N. </w:t>
            </w:r>
            <w:proofErr w:type="spellStart"/>
            <w:r w:rsidRPr="00823AF4">
              <w:rPr>
                <w:sz w:val="28"/>
                <w:szCs w:val="20"/>
                <w:lang w:val="en-US"/>
              </w:rPr>
              <w:t>Miklukho-Maklai</w:t>
            </w:r>
            <w:proofErr w:type="spellEnd"/>
            <w:r w:rsidRPr="00823AF4">
              <w:rPr>
                <w:sz w:val="28"/>
                <w:szCs w:val="20"/>
                <w:lang w:val="en-US"/>
              </w:rPr>
              <w:t xml:space="preserve"> Institute of Ethnology and Anthropology, Russian Academy of   Sciences; Member of the Scientific Council for   theses’ defense at the Institute of Ethnology and   Anthropology of RAS</w:t>
            </w:r>
            <w:r w:rsidRPr="00823AF4">
              <w:rPr>
                <w:sz w:val="28"/>
                <w:szCs w:val="28"/>
                <w:lang w:val="en-US"/>
              </w:rPr>
              <w:t xml:space="preserve">   </w:t>
            </w:r>
            <w:r w:rsidRPr="00823AF4">
              <w:rPr>
                <w:sz w:val="28"/>
                <w:szCs w:val="20"/>
                <w:lang w:val="en-US"/>
              </w:rPr>
              <w:t xml:space="preserve">  </w:t>
            </w:r>
          </w:p>
          <w:p w:rsidR="00823AF4" w:rsidRPr="00823AF4" w:rsidRDefault="00823AF4" w:rsidP="00823AF4">
            <w:pPr>
              <w:ind w:left="34"/>
              <w:jc w:val="both"/>
              <w:rPr>
                <w:sz w:val="28"/>
                <w:szCs w:val="28"/>
                <w:lang w:val="en-US"/>
              </w:rPr>
            </w:pPr>
            <w:r w:rsidRPr="00823AF4">
              <w:rPr>
                <w:sz w:val="28"/>
                <w:szCs w:val="20"/>
                <w:lang w:val="en-US"/>
              </w:rPr>
              <w:t>(</w:t>
            </w:r>
            <w:r w:rsidRPr="00823AF4">
              <w:rPr>
                <w:sz w:val="28"/>
                <w:szCs w:val="28"/>
                <w:lang w:val="en-US"/>
              </w:rPr>
              <w:t>by agreement</w:t>
            </w:r>
            <w:r w:rsidRPr="00823AF4">
              <w:rPr>
                <w:sz w:val="28"/>
                <w:szCs w:val="20"/>
                <w:lang w:val="en-US"/>
              </w:rPr>
              <w:t>)</w:t>
            </w:r>
          </w:p>
          <w:p w:rsidR="00823AF4" w:rsidRPr="00823AF4" w:rsidRDefault="00823AF4" w:rsidP="00823AF4">
            <w:pPr>
              <w:ind w:left="34"/>
              <w:jc w:val="both"/>
              <w:rPr>
                <w:sz w:val="28"/>
                <w:szCs w:val="28"/>
                <w:lang w:val="en-US"/>
              </w:rPr>
            </w:pPr>
          </w:p>
        </w:tc>
      </w:tr>
      <w:tr w:rsidR="00823AF4" w:rsidRPr="00823AF4" w:rsidTr="00652B43">
        <w:tc>
          <w:tcPr>
            <w:tcW w:w="3227" w:type="dxa"/>
          </w:tcPr>
          <w:p w:rsidR="00823AF4" w:rsidRPr="00823AF4" w:rsidRDefault="00823AF4" w:rsidP="00823AF4">
            <w:pPr>
              <w:autoSpaceDE w:val="0"/>
              <w:autoSpaceDN w:val="0"/>
              <w:adjustRightInd w:val="0"/>
              <w:jc w:val="both"/>
              <w:rPr>
                <w:rFonts w:eastAsia="Calibri"/>
                <w:color w:val="000000"/>
                <w:sz w:val="28"/>
                <w:szCs w:val="28"/>
              </w:rPr>
            </w:pPr>
            <w:proofErr w:type="spellStart"/>
            <w:r w:rsidRPr="00823AF4">
              <w:rPr>
                <w:rFonts w:eastAsia="Calibri"/>
                <w:color w:val="000000"/>
                <w:sz w:val="28"/>
                <w:szCs w:val="28"/>
              </w:rPr>
              <w:t>Chulkov-Savkin</w:t>
            </w:r>
            <w:proofErr w:type="spellEnd"/>
            <w:r w:rsidRPr="00823AF4">
              <w:rPr>
                <w:rFonts w:eastAsia="Calibri"/>
                <w:color w:val="000000"/>
                <w:sz w:val="28"/>
                <w:szCs w:val="28"/>
              </w:rPr>
              <w:t xml:space="preserve"> </w:t>
            </w:r>
            <w:r w:rsidRPr="00823AF4">
              <w:rPr>
                <w:rFonts w:eastAsia="Calibri"/>
                <w:color w:val="000000"/>
                <w:sz w:val="28"/>
                <w:szCs w:val="28"/>
                <w:lang w:val="en-US"/>
              </w:rPr>
              <w:t>E</w:t>
            </w:r>
            <w:r w:rsidRPr="00823AF4">
              <w:rPr>
                <w:rFonts w:eastAsia="Calibri"/>
                <w:color w:val="000000"/>
                <w:sz w:val="28"/>
                <w:szCs w:val="28"/>
              </w:rPr>
              <w:t>.</w:t>
            </w:r>
            <w:r w:rsidRPr="00823AF4">
              <w:rPr>
                <w:rFonts w:eastAsia="Calibri"/>
                <w:color w:val="000000"/>
                <w:sz w:val="28"/>
                <w:szCs w:val="28"/>
                <w:lang w:val="en-US"/>
              </w:rPr>
              <w:t>V</w:t>
            </w:r>
            <w:r w:rsidRPr="00823AF4">
              <w:rPr>
                <w:rFonts w:eastAsia="Calibri"/>
                <w:color w:val="000000"/>
                <w:sz w:val="28"/>
                <w:szCs w:val="28"/>
              </w:rPr>
              <w:t>.</w:t>
            </w:r>
          </w:p>
        </w:tc>
        <w:tc>
          <w:tcPr>
            <w:tcW w:w="6237" w:type="dxa"/>
          </w:tcPr>
          <w:p w:rsidR="00823AF4" w:rsidRPr="00823AF4" w:rsidRDefault="00823AF4" w:rsidP="00823AF4">
            <w:pPr>
              <w:ind w:left="34"/>
              <w:rPr>
                <w:sz w:val="28"/>
                <w:szCs w:val="20"/>
                <w:lang w:val="en-US"/>
              </w:rPr>
            </w:pPr>
            <w:r w:rsidRPr="00823AF4">
              <w:rPr>
                <w:sz w:val="28"/>
                <w:szCs w:val="28"/>
                <w:lang w:val="en-US"/>
              </w:rPr>
              <w:t xml:space="preserve">- </w:t>
            </w:r>
            <w:r w:rsidRPr="00823AF4">
              <w:rPr>
                <w:sz w:val="28"/>
                <w:szCs w:val="20"/>
                <w:lang w:val="en-US"/>
              </w:rPr>
              <w:t>Professor at the University of the Basque Country, Faculty of Chemistry</w:t>
            </w:r>
          </w:p>
          <w:p w:rsidR="00823AF4" w:rsidRPr="00823AF4" w:rsidRDefault="00823AF4" w:rsidP="00823AF4">
            <w:pPr>
              <w:ind w:left="34"/>
              <w:rPr>
                <w:sz w:val="28"/>
                <w:szCs w:val="20"/>
                <w:lang w:val="en-US"/>
              </w:rPr>
            </w:pPr>
            <w:r w:rsidRPr="00823AF4">
              <w:rPr>
                <w:sz w:val="28"/>
                <w:szCs w:val="20"/>
                <w:lang w:val="en-US"/>
              </w:rPr>
              <w:t xml:space="preserve">(by agreement) </w:t>
            </w:r>
          </w:p>
          <w:p w:rsidR="00823AF4" w:rsidRPr="00823AF4" w:rsidRDefault="00823AF4" w:rsidP="00823AF4">
            <w:pPr>
              <w:ind w:left="34"/>
              <w:rPr>
                <w:sz w:val="28"/>
                <w:szCs w:val="20"/>
                <w:lang w:val="en-US"/>
              </w:rPr>
            </w:pPr>
          </w:p>
        </w:tc>
      </w:tr>
      <w:tr w:rsidR="00823AF4" w:rsidRPr="00823AF4"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Eskin</w:t>
            </w:r>
            <w:proofErr w:type="spellEnd"/>
            <w:r w:rsidRPr="00823AF4">
              <w:rPr>
                <w:sz w:val="28"/>
                <w:szCs w:val="28"/>
              </w:rPr>
              <w:t xml:space="preserve"> </w:t>
            </w:r>
            <w:r w:rsidRPr="00823AF4">
              <w:rPr>
                <w:sz w:val="28"/>
                <w:szCs w:val="28"/>
                <w:lang w:val="en-US"/>
              </w:rPr>
              <w:t>D</w:t>
            </w:r>
            <w:r w:rsidRPr="00823AF4">
              <w:rPr>
                <w:sz w:val="28"/>
                <w:szCs w:val="28"/>
              </w:rPr>
              <w:t>.</w:t>
            </w:r>
            <w:r w:rsidRPr="00823AF4">
              <w:rPr>
                <w:sz w:val="28"/>
                <w:szCs w:val="28"/>
                <w:lang w:val="en-US"/>
              </w:rPr>
              <w:t>G</w:t>
            </w:r>
            <w:r w:rsidRPr="00823AF4">
              <w:rPr>
                <w:sz w:val="28"/>
                <w:szCs w:val="28"/>
              </w:rPr>
              <w:t>.</w:t>
            </w: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lang w:val="en-US"/>
              </w:rPr>
            </w:pPr>
            <w:r w:rsidRPr="00823AF4">
              <w:rPr>
                <w:sz w:val="28"/>
                <w:szCs w:val="28"/>
                <w:lang w:val="en-US"/>
              </w:rPr>
              <w:t xml:space="preserve">- Professor at BCAST, Brunel University; Associate investigator of the EPSRC Centre for Innovative Manufacturing in Liquid Metal Engineering </w:t>
            </w:r>
          </w:p>
          <w:p w:rsidR="00823AF4" w:rsidRPr="00823AF4" w:rsidRDefault="00823AF4" w:rsidP="00823AF4">
            <w:pPr>
              <w:ind w:left="34"/>
              <w:rPr>
                <w:sz w:val="28"/>
                <w:szCs w:val="28"/>
                <w:lang w:val="en-US"/>
              </w:rPr>
            </w:pPr>
            <w:r w:rsidRPr="00823AF4">
              <w:rPr>
                <w:sz w:val="28"/>
                <w:szCs w:val="28"/>
              </w:rPr>
              <w:t>(</w:t>
            </w:r>
            <w:proofErr w:type="spellStart"/>
            <w:r w:rsidRPr="00823AF4">
              <w:rPr>
                <w:sz w:val="28"/>
                <w:szCs w:val="28"/>
              </w:rPr>
              <w:t>by</w:t>
            </w:r>
            <w:proofErr w:type="spellEnd"/>
            <w:r w:rsidRPr="00823AF4">
              <w:rPr>
                <w:sz w:val="28"/>
                <w:szCs w:val="28"/>
              </w:rPr>
              <w:t xml:space="preserve"> </w:t>
            </w:r>
            <w:proofErr w:type="spellStart"/>
            <w:r w:rsidRPr="00823AF4">
              <w:rPr>
                <w:sz w:val="28"/>
                <w:szCs w:val="28"/>
              </w:rPr>
              <w:t>agreement</w:t>
            </w:r>
            <w:proofErr w:type="spellEnd"/>
            <w:r w:rsidRPr="00823AF4">
              <w:rPr>
                <w:sz w:val="28"/>
                <w:szCs w:val="28"/>
              </w:rPr>
              <w:t xml:space="preserve">) </w:t>
            </w:r>
            <w:r w:rsidRPr="00823AF4">
              <w:rPr>
                <w:sz w:val="28"/>
                <w:szCs w:val="28"/>
                <w:lang w:val="en-US"/>
              </w:rPr>
              <w:t xml:space="preserve"> </w:t>
            </w:r>
          </w:p>
        </w:tc>
      </w:tr>
      <w:tr w:rsidR="00823AF4" w:rsidRPr="00823AF4" w:rsidTr="00652B43">
        <w:tc>
          <w:tcPr>
            <w:tcW w:w="3227" w:type="dxa"/>
          </w:tcPr>
          <w:p w:rsidR="00823AF4" w:rsidRPr="00823AF4" w:rsidRDefault="00823AF4" w:rsidP="00823AF4">
            <w:pPr>
              <w:ind w:left="176" w:hanging="176"/>
              <w:rPr>
                <w:sz w:val="28"/>
                <w:szCs w:val="20"/>
              </w:rPr>
            </w:pPr>
          </w:p>
        </w:tc>
        <w:tc>
          <w:tcPr>
            <w:tcW w:w="6237" w:type="dxa"/>
          </w:tcPr>
          <w:p w:rsidR="00823AF4" w:rsidRPr="00823AF4" w:rsidRDefault="00823AF4" w:rsidP="00823AF4">
            <w:pPr>
              <w:ind w:left="34"/>
              <w:rPr>
                <w:sz w:val="28"/>
                <w:szCs w:val="20"/>
              </w:rPr>
            </w:pPr>
          </w:p>
        </w:tc>
      </w:tr>
      <w:tr w:rsidR="00823AF4" w:rsidRPr="00823AF4" w:rsidTr="00652B43">
        <w:tc>
          <w:tcPr>
            <w:tcW w:w="3227" w:type="dxa"/>
          </w:tcPr>
          <w:p w:rsidR="00823AF4" w:rsidRPr="00823AF4" w:rsidRDefault="00823AF4" w:rsidP="00823AF4">
            <w:pPr>
              <w:jc w:val="both"/>
              <w:rPr>
                <w:sz w:val="28"/>
                <w:szCs w:val="28"/>
              </w:rPr>
            </w:pPr>
          </w:p>
        </w:tc>
        <w:tc>
          <w:tcPr>
            <w:tcW w:w="6237" w:type="dxa"/>
          </w:tcPr>
          <w:p w:rsidR="00823AF4" w:rsidRPr="00823AF4" w:rsidRDefault="00823AF4" w:rsidP="00823AF4">
            <w:pPr>
              <w:ind w:left="34"/>
              <w:rPr>
                <w:sz w:val="28"/>
                <w:szCs w:val="28"/>
              </w:rPr>
            </w:pPr>
          </w:p>
        </w:tc>
      </w:tr>
      <w:tr w:rsidR="00823AF4" w:rsidRPr="00B15422" w:rsidTr="00652B43">
        <w:tc>
          <w:tcPr>
            <w:tcW w:w="3227" w:type="dxa"/>
          </w:tcPr>
          <w:p w:rsidR="00823AF4" w:rsidRPr="00823AF4" w:rsidRDefault="00823AF4" w:rsidP="00823AF4">
            <w:pPr>
              <w:jc w:val="both"/>
              <w:rPr>
                <w:sz w:val="28"/>
                <w:szCs w:val="28"/>
              </w:rPr>
            </w:pPr>
            <w:proofErr w:type="spellStart"/>
            <w:r w:rsidRPr="00823AF4">
              <w:rPr>
                <w:sz w:val="28"/>
                <w:szCs w:val="28"/>
                <w:lang w:val="en-US"/>
              </w:rPr>
              <w:t>Borilo</w:t>
            </w:r>
            <w:proofErr w:type="spellEnd"/>
            <w:r w:rsidRPr="00823AF4">
              <w:rPr>
                <w:sz w:val="28"/>
                <w:szCs w:val="28"/>
              </w:rPr>
              <w:t xml:space="preserve"> </w:t>
            </w:r>
            <w:r w:rsidRPr="00823AF4">
              <w:rPr>
                <w:sz w:val="28"/>
                <w:szCs w:val="28"/>
                <w:lang w:val="en-US"/>
              </w:rPr>
              <w:t>L</w:t>
            </w:r>
            <w:r w:rsidRPr="00823AF4">
              <w:rPr>
                <w:sz w:val="28"/>
                <w:szCs w:val="28"/>
              </w:rPr>
              <w:t>.</w:t>
            </w:r>
            <w:r w:rsidRPr="00823AF4">
              <w:rPr>
                <w:sz w:val="28"/>
                <w:szCs w:val="28"/>
                <w:lang w:val="en-US"/>
              </w:rPr>
              <w:t>P</w:t>
            </w:r>
            <w:r w:rsidRPr="00823AF4">
              <w:rPr>
                <w:sz w:val="28"/>
                <w:szCs w:val="28"/>
              </w:rPr>
              <w:t>.</w:t>
            </w:r>
          </w:p>
        </w:tc>
        <w:tc>
          <w:tcPr>
            <w:tcW w:w="6237" w:type="dxa"/>
          </w:tcPr>
          <w:p w:rsidR="00823AF4" w:rsidRPr="00823AF4" w:rsidRDefault="00823AF4" w:rsidP="00823AF4">
            <w:pPr>
              <w:ind w:left="34"/>
              <w:rPr>
                <w:sz w:val="28"/>
                <w:szCs w:val="28"/>
                <w:lang w:val="en-US"/>
              </w:rPr>
            </w:pPr>
            <w:r w:rsidRPr="00823AF4">
              <w:rPr>
                <w:sz w:val="28"/>
                <w:szCs w:val="28"/>
                <w:lang w:val="en-US"/>
              </w:rPr>
              <w:t>-Professor, Academic Secretary of the Department of Management Science, Deputy of Managing Director of the National Research Tomsk State University Development Program</w:t>
            </w:r>
          </w:p>
          <w:p w:rsidR="00823AF4" w:rsidRPr="00823AF4" w:rsidRDefault="00823AF4" w:rsidP="00823AF4">
            <w:pPr>
              <w:ind w:left="34"/>
              <w:rPr>
                <w:sz w:val="28"/>
                <w:szCs w:val="28"/>
                <w:lang w:val="en-US"/>
              </w:rPr>
            </w:pPr>
            <w:r w:rsidRPr="00823AF4">
              <w:rPr>
                <w:sz w:val="28"/>
                <w:szCs w:val="28"/>
                <w:lang w:val="en-US"/>
              </w:rPr>
              <w:t>(Academic Secretary of the Board)</w:t>
            </w:r>
          </w:p>
        </w:tc>
      </w:tr>
    </w:tbl>
    <w:p w:rsidR="00823AF4" w:rsidRPr="00823AF4" w:rsidRDefault="00823AF4" w:rsidP="00823AF4">
      <w:pPr>
        <w:rPr>
          <w:sz w:val="28"/>
          <w:szCs w:val="28"/>
          <w:lang w:val="en-US"/>
        </w:rPr>
      </w:pPr>
    </w:p>
    <w:p w:rsidR="00823AF4" w:rsidRPr="00823AF4" w:rsidRDefault="00823AF4" w:rsidP="00823AF4">
      <w:pPr>
        <w:jc w:val="right"/>
        <w:rPr>
          <w:lang w:val="en-US"/>
        </w:rPr>
      </w:pPr>
    </w:p>
    <w:p w:rsidR="00823AF4" w:rsidRPr="00823AF4" w:rsidRDefault="00823AF4" w:rsidP="00823AF4">
      <w:pPr>
        <w:rPr>
          <w:lang w:val="en-US"/>
        </w:rPr>
      </w:pPr>
    </w:p>
    <w:p w:rsidR="00447EAA" w:rsidRPr="00823AF4" w:rsidRDefault="00447EAA" w:rsidP="006B4CB6">
      <w:pPr>
        <w:rPr>
          <w:sz w:val="26"/>
          <w:szCs w:val="26"/>
          <w:lang w:val="en-US"/>
        </w:rPr>
      </w:pPr>
    </w:p>
    <w:p w:rsidR="00447EAA" w:rsidRPr="00823AF4" w:rsidRDefault="00447EAA" w:rsidP="006B4CB6">
      <w:pPr>
        <w:rPr>
          <w:sz w:val="26"/>
          <w:szCs w:val="26"/>
          <w:lang w:val="en-US"/>
        </w:rPr>
      </w:pPr>
    </w:p>
    <w:p w:rsidR="00447EAA" w:rsidRPr="00823AF4" w:rsidRDefault="00447EAA" w:rsidP="006B4CB6">
      <w:pPr>
        <w:rPr>
          <w:sz w:val="26"/>
          <w:szCs w:val="26"/>
          <w:lang w:val="en-US"/>
        </w:rPr>
      </w:pPr>
    </w:p>
    <w:p w:rsidR="00447EAA" w:rsidRPr="00823AF4" w:rsidRDefault="00447EAA" w:rsidP="006B4CB6">
      <w:pPr>
        <w:rPr>
          <w:sz w:val="26"/>
          <w:szCs w:val="26"/>
          <w:lang w:val="en-US"/>
        </w:rPr>
      </w:pPr>
    </w:p>
    <w:p w:rsidR="00447EAA" w:rsidRPr="00823AF4" w:rsidRDefault="00447EAA" w:rsidP="006B4CB6">
      <w:pPr>
        <w:rPr>
          <w:sz w:val="26"/>
          <w:szCs w:val="26"/>
          <w:lang w:val="en-US"/>
        </w:rPr>
      </w:pPr>
    </w:p>
    <w:tbl>
      <w:tblPr>
        <w:tblW w:w="9856" w:type="dxa"/>
        <w:tblLook w:val="00A0" w:firstRow="1" w:lastRow="0" w:firstColumn="1" w:lastColumn="0" w:noHBand="0" w:noVBand="0"/>
      </w:tblPr>
      <w:tblGrid>
        <w:gridCol w:w="3227"/>
        <w:gridCol w:w="1843"/>
        <w:gridCol w:w="4394"/>
        <w:gridCol w:w="107"/>
        <w:gridCol w:w="285"/>
      </w:tblGrid>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ind w:left="175" w:hanging="175"/>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ind w:left="175" w:hanging="175"/>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8037A3" w:rsidRDefault="00447EAA" w:rsidP="00652B43">
            <w:pPr>
              <w:jc w:val="both"/>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jc w:val="both"/>
              <w:rPr>
                <w:sz w:val="28"/>
                <w:szCs w:val="28"/>
                <w:lang w:val="en-US"/>
              </w:rPr>
            </w:pPr>
          </w:p>
        </w:tc>
      </w:tr>
      <w:tr w:rsidR="00447EAA" w:rsidRPr="00B15422" w:rsidTr="00823AF4">
        <w:trPr>
          <w:gridAfter w:val="2"/>
          <w:wAfter w:w="392" w:type="dxa"/>
        </w:trPr>
        <w:tc>
          <w:tcPr>
            <w:tcW w:w="3227" w:type="dxa"/>
          </w:tcPr>
          <w:p w:rsidR="00447EAA" w:rsidRPr="00B15422" w:rsidRDefault="00447EAA" w:rsidP="00652B43">
            <w:pPr>
              <w:jc w:val="both"/>
              <w:rPr>
                <w:sz w:val="28"/>
                <w:szCs w:val="28"/>
                <w:lang w:val="en-US"/>
              </w:rPr>
            </w:pPr>
          </w:p>
        </w:tc>
        <w:tc>
          <w:tcPr>
            <w:tcW w:w="6237" w:type="dxa"/>
            <w:gridSpan w:val="2"/>
          </w:tcPr>
          <w:p w:rsidR="00447EAA" w:rsidRPr="00B15422" w:rsidRDefault="00447EAA" w:rsidP="00652B43">
            <w:pPr>
              <w:jc w:val="both"/>
              <w:rPr>
                <w:sz w:val="28"/>
                <w:szCs w:val="28"/>
                <w:lang w:val="en-US"/>
              </w:rPr>
            </w:pPr>
          </w:p>
        </w:tc>
      </w:tr>
      <w:tr w:rsidR="00447EAA" w:rsidRPr="00B15422" w:rsidTr="00823AF4">
        <w:trPr>
          <w:gridAfter w:val="2"/>
          <w:wAfter w:w="392" w:type="dxa"/>
          <w:trHeight w:val="1196"/>
        </w:trPr>
        <w:tc>
          <w:tcPr>
            <w:tcW w:w="3227" w:type="dxa"/>
          </w:tcPr>
          <w:p w:rsidR="00447EAA" w:rsidRPr="00B15422" w:rsidRDefault="00447EAA" w:rsidP="00652B43">
            <w:pPr>
              <w:jc w:val="both"/>
              <w:rPr>
                <w:sz w:val="28"/>
                <w:szCs w:val="28"/>
                <w:lang w:val="en-US"/>
              </w:rPr>
            </w:pPr>
          </w:p>
        </w:tc>
        <w:tc>
          <w:tcPr>
            <w:tcW w:w="6237" w:type="dxa"/>
            <w:gridSpan w:val="2"/>
          </w:tcPr>
          <w:p w:rsidR="00447EAA" w:rsidRPr="00447EAA" w:rsidRDefault="00447EAA" w:rsidP="00447EAA">
            <w:pPr>
              <w:ind w:left="176" w:hanging="176"/>
              <w:rPr>
                <w:sz w:val="28"/>
                <w:szCs w:val="20"/>
                <w:lang w:val="en-US"/>
              </w:rPr>
            </w:pPr>
          </w:p>
        </w:tc>
      </w:tr>
      <w:tr w:rsidR="00BD5494" w:rsidRPr="00BD5494" w:rsidTr="00823AF4">
        <w:tblPrEx>
          <w:tblLook w:val="04A0" w:firstRow="1" w:lastRow="0" w:firstColumn="1" w:lastColumn="0" w:noHBand="0" w:noVBand="1"/>
        </w:tblPrEx>
        <w:trPr>
          <w:gridAfter w:val="1"/>
          <w:wAfter w:w="285" w:type="dxa"/>
        </w:trPr>
        <w:tc>
          <w:tcPr>
            <w:tcW w:w="9571" w:type="dxa"/>
            <w:gridSpan w:val="4"/>
            <w:shd w:val="clear" w:color="auto" w:fill="auto"/>
          </w:tcPr>
          <w:p w:rsidR="00BD5494" w:rsidRPr="00BD5494" w:rsidRDefault="00BD5494" w:rsidP="00BD5494">
            <w:pPr>
              <w:tabs>
                <w:tab w:val="left" w:pos="360"/>
              </w:tabs>
              <w:ind w:left="7080"/>
              <w:jc w:val="center"/>
              <w:rPr>
                <w:lang w:val="en-US"/>
              </w:rPr>
            </w:pPr>
            <w:r w:rsidRPr="00BD5494">
              <w:rPr>
                <w:lang w:val="en-US"/>
              </w:rPr>
              <w:t>Appendix  № 2</w:t>
            </w:r>
          </w:p>
          <w:p w:rsidR="00BD5494" w:rsidRPr="00BD5494" w:rsidRDefault="00BD5494" w:rsidP="00BD5494">
            <w:pPr>
              <w:tabs>
                <w:tab w:val="left" w:pos="360"/>
              </w:tabs>
              <w:ind w:left="7080"/>
              <w:jc w:val="center"/>
              <w:rPr>
                <w:lang w:val="en-US"/>
              </w:rPr>
            </w:pPr>
            <w:r w:rsidRPr="00BD5494">
              <w:rPr>
                <w:lang w:val="en-US"/>
              </w:rPr>
              <w:t>to the order of TSU</w:t>
            </w:r>
          </w:p>
          <w:p w:rsidR="00BD5494" w:rsidRPr="00BD5494" w:rsidRDefault="00BD5494" w:rsidP="00BD5494">
            <w:pPr>
              <w:tabs>
                <w:tab w:val="left" w:pos="360"/>
              </w:tabs>
              <w:ind w:left="7080"/>
              <w:jc w:val="center"/>
              <w:rPr>
                <w:lang w:val="en-US"/>
              </w:rPr>
            </w:pPr>
            <w:r w:rsidRPr="00BD5494">
              <w:rPr>
                <w:lang w:val="en-US"/>
              </w:rPr>
              <w:t xml:space="preserve">dated           № </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eastAsia="ar-SA"/>
              </w:rPr>
              <w:t>1. Общие положения</w:t>
            </w:r>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bookmarkStart w:id="1" w:name="_Toc365537964"/>
            <w:r w:rsidRPr="00BD5494">
              <w:rPr>
                <w:b/>
                <w:bCs/>
                <w:kern w:val="32"/>
                <w:sz w:val="28"/>
                <w:szCs w:val="28"/>
                <w:lang w:eastAsia="ar-SA"/>
              </w:rPr>
              <w:t xml:space="preserve">1. </w:t>
            </w:r>
            <w:bookmarkEnd w:id="1"/>
            <w:r w:rsidRPr="00BD5494">
              <w:rPr>
                <w:b/>
                <w:bCs/>
                <w:kern w:val="32"/>
                <w:sz w:val="28"/>
                <w:szCs w:val="28"/>
                <w:lang w:val="en-US" w:eastAsia="ar-SA"/>
              </w:rPr>
              <w:t>General provisions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1.1. Международный академический совет Томского государственного университета (далее по тексту «Совет») является  экспертно-аналитическим органом, консультирующим и дающим рекомендации по</w:t>
            </w:r>
            <w:r w:rsidRPr="00BD5494">
              <w:rPr>
                <w:rFonts w:eastAsia="Calibri" w:cs="Calibri"/>
                <w:i/>
                <w:sz w:val="28"/>
                <w:szCs w:val="28"/>
                <w:lang w:eastAsia="ar-SA"/>
              </w:rPr>
              <w:t xml:space="preserve"> </w:t>
            </w:r>
            <w:r w:rsidRPr="00BD5494">
              <w:rPr>
                <w:rFonts w:eastAsia="Calibri" w:cs="Calibri"/>
                <w:sz w:val="28"/>
                <w:szCs w:val="28"/>
                <w:lang w:eastAsia="ar-SA"/>
              </w:rPr>
              <w:t xml:space="preserve">осуществлению международной деятельности Университета в области образовательной, научной и инновационной деятельности.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1.1. International Academic Advisory Board of the Tomsk State University (hereinafter referred to as «the Board») is an advisory body responsible for giving recommendations on issues relating to the University internationalization in the areas of education, science and innovation.</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1.2. Совет участвует в стратегическом развитии Университета и повышении его конкурентоспособности среди ведущих мировых научно-образовательных центров.</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1.2. The Board participates in the University strategic development, and increasing its competitiveness among world leading international research and education centers.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1.3. Деятельность Совета направлена на повышение эффективности международной деятельности университета. Целью работы Совета является содействие решению актуальных вопросов, связанных с целями и задачами стратегического развития университета.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1.3. The Board activities are aimed at improving the effectiveness of the University’s international activities. The main goal of the Board’s work is to assist in solving the urgent issues related to the goals and objectives of the University strategic development.</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i/>
                <w:sz w:val="28"/>
                <w:szCs w:val="28"/>
                <w:lang w:eastAsia="ar-SA"/>
              </w:rPr>
            </w:pPr>
            <w:r w:rsidRPr="00BD5494">
              <w:rPr>
                <w:rFonts w:eastAsia="Calibri" w:cs="Calibri"/>
                <w:sz w:val="28"/>
                <w:szCs w:val="28"/>
                <w:lang w:eastAsia="ar-SA"/>
              </w:rPr>
              <w:t>1.4. Совет осуществляет свою деятельность в соответствии с законодательством и международными договорами Российской Федерации, Уставом ТГУ, решениями Ученого совета ТГУ, настоящим Положением.</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i/>
                <w:sz w:val="28"/>
                <w:szCs w:val="28"/>
                <w:lang w:val="en-US" w:eastAsia="ar-SA"/>
              </w:rPr>
            </w:pPr>
            <w:r w:rsidRPr="00BD5494">
              <w:rPr>
                <w:rFonts w:eastAsia="Calibri" w:cs="Calibri"/>
                <w:sz w:val="28"/>
                <w:szCs w:val="28"/>
                <w:lang w:val="en-US" w:eastAsia="ar-SA"/>
              </w:rPr>
              <w:t>1.4. The Board carries out its activities in accordance with the Russian Federation legislation, the Russian Federation international agreements, the decisions of the University’s Academic Board, and these Regulations.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suppressLineNumbers/>
              <w:tabs>
                <w:tab w:val="left" w:pos="360"/>
              </w:tabs>
              <w:suppressAutoHyphens/>
              <w:ind w:firstLine="690"/>
              <w:jc w:val="both"/>
              <w:rPr>
                <w:rFonts w:eastAsia="Calibri" w:cs="Calibri"/>
                <w:i/>
                <w:sz w:val="28"/>
                <w:szCs w:val="28"/>
                <w:lang w:eastAsia="ar-SA"/>
              </w:rPr>
            </w:pPr>
            <w:r w:rsidRPr="00BD5494">
              <w:rPr>
                <w:rFonts w:eastAsia="Calibri" w:cs="Calibri"/>
                <w:sz w:val="28"/>
                <w:szCs w:val="28"/>
                <w:lang w:eastAsia="ar-SA"/>
              </w:rPr>
              <w:t>1.5.    Настоящее Положение о Международном академическом совете  Томского государственного университета (далее по тексту «Положение») разработано в соответствии с решением Ученого совета Томского государственного университета.</w:t>
            </w:r>
            <w:r w:rsidRPr="00BD5494">
              <w:rPr>
                <w:rFonts w:eastAsia="Calibri" w:cs="Calibri"/>
                <w:color w:val="FF0000"/>
                <w:sz w:val="28"/>
                <w:szCs w:val="28"/>
                <w:lang w:eastAsia="ar-SA"/>
              </w:rPr>
              <w:t xml:space="preserve"> </w:t>
            </w:r>
          </w:p>
        </w:tc>
        <w:tc>
          <w:tcPr>
            <w:tcW w:w="4786" w:type="dxa"/>
            <w:gridSpan w:val="3"/>
            <w:shd w:val="clear" w:color="auto" w:fill="auto"/>
          </w:tcPr>
          <w:p w:rsidR="00BD5494" w:rsidRPr="00BD5494" w:rsidRDefault="00BD5494" w:rsidP="00BD5494">
            <w:pPr>
              <w:suppressLineNumbers/>
              <w:tabs>
                <w:tab w:val="left" w:pos="360"/>
              </w:tabs>
              <w:suppressAutoHyphens/>
              <w:ind w:firstLine="690"/>
              <w:jc w:val="both"/>
              <w:rPr>
                <w:rFonts w:eastAsia="Calibri" w:cs="Calibri"/>
                <w:i/>
                <w:sz w:val="28"/>
                <w:szCs w:val="28"/>
                <w:lang w:val="en-US" w:eastAsia="ar-SA"/>
              </w:rPr>
            </w:pPr>
            <w:r w:rsidRPr="00BD5494">
              <w:rPr>
                <w:rFonts w:eastAsia="Calibri" w:cs="Calibri"/>
                <w:sz w:val="28"/>
                <w:szCs w:val="28"/>
                <w:lang w:val="en-US" w:eastAsia="ar-SA"/>
              </w:rPr>
              <w:t xml:space="preserve">1.5.    Current Regulations on the International Academic Advisory Board of the Tomsk State University (hereinafter referred to as «Regulations») are worked out in accordance with the decision of the Academic Board of the Tomsk State University.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2" w:name="_Toc365537965"/>
            <w:r w:rsidRPr="00BD5494">
              <w:rPr>
                <w:b/>
                <w:bCs/>
                <w:kern w:val="32"/>
                <w:sz w:val="28"/>
                <w:szCs w:val="28"/>
                <w:lang w:eastAsia="ar-SA"/>
              </w:rPr>
              <w:t>2. Состав  и принципы формирования Совета</w:t>
            </w:r>
            <w:bookmarkEnd w:id="2"/>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 xml:space="preserve">2. Membership of the Board and principles of its formation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2.1. Состав Совета Университета формируется из числа ведущих международных экспертов и научных деятелей. Список кандидатов Совета Университета формируется ректором Университета с учетом предложений Ученого совета.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2.1. The Board of the University shall be comprised of leading international experts and researchers.  The list of candidates to the Board of the University is formed by the University Rector taking into account the University’s Academic Board suggestions.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2.2. Совет состоит из 18-20 членов, двух сопредседателей и ученого секретаря. Состав совета утверждается приказом ректора.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2.2. The Board shall consist of 18-20 members, two co-chairmen and the Scientific Secretary. The members of the Board are approved by an order of the Rector.</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2.3. Члены Совета </w:t>
            </w:r>
            <w:proofErr w:type="gramStart"/>
            <w:r w:rsidRPr="00BD5494">
              <w:rPr>
                <w:rFonts w:eastAsia="Calibri" w:cs="Calibri"/>
                <w:sz w:val="28"/>
                <w:szCs w:val="28"/>
                <w:lang w:eastAsia="ar-SA"/>
              </w:rPr>
              <w:t>осуществляют свои обязанности</w:t>
            </w:r>
            <w:proofErr w:type="gramEnd"/>
            <w:r w:rsidRPr="00BD5494">
              <w:rPr>
                <w:rFonts w:eastAsia="Calibri" w:cs="Calibri"/>
                <w:sz w:val="28"/>
                <w:szCs w:val="28"/>
                <w:lang w:eastAsia="ar-SA"/>
              </w:rPr>
              <w:t xml:space="preserve"> в своем личном качестве как независимые эксперты</w:t>
            </w:r>
            <w:r w:rsidRPr="00BD5494">
              <w:rPr>
                <w:rFonts w:eastAsia="Calibri" w:cs="Calibri"/>
                <w:b/>
                <w:sz w:val="28"/>
                <w:szCs w:val="28"/>
                <w:lang w:eastAsia="ar-SA"/>
              </w:rPr>
              <w:t xml:space="preserve">. </w:t>
            </w:r>
            <w:r w:rsidRPr="00BD5494">
              <w:rPr>
                <w:rFonts w:eastAsia="Calibri" w:cs="Calibri"/>
                <w:sz w:val="28"/>
                <w:szCs w:val="28"/>
                <w:lang w:eastAsia="ar-SA"/>
              </w:rPr>
              <w:t>Члены совета приносят пользу университету исходя из своих индивидуальных возможностей.</w:t>
            </w:r>
            <w:r w:rsidRPr="00BD5494">
              <w:rPr>
                <w:rFonts w:eastAsia="Calibri" w:cs="Calibri"/>
                <w:b/>
                <w:sz w:val="28"/>
                <w:szCs w:val="28"/>
                <w:lang w:eastAsia="ar-SA"/>
              </w:rPr>
              <w:t xml:space="preserve">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2.3. The members of the Board shall carry out their duties as independent experts serving in their individual capacity. Members of the Board shall bring positive results to the University based on their own capacity.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2.4. Члены Совета назначаются из числа всемирно известных ученых, работающих в ведущих  научно-образовательных центрах и  университетах, на основе их опыта в конкретных научных областях, связанных с осуществлением стратегических целей Программы развития Университета. Члены Совета должны быть выбраны на основе их квалификации и опыта, с учетом их научных публикаций, учебной или профессиональной деятельности, международного опыта с учетом области специальности. Предпочтение отдается лицам, которые хорошо осведомлены о глобальных трендах в сфере образования, науки и инноваций и имеют опыт работы в учебных и академических программах, и понимают и признают важность жизни и учебы за рубежом.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2.4. The members of the Board shall be appointed from world-renowned scientists, who work in leading international research and education centers and universities, based on their experience in the field of study connected with implementation of the University Development Program.  The members of the Board shall be selected based on their qualifications and experience, taking into account their publications, scientific, academic or professional activities, and international experience in their field of study. Preference shall be given to persons, who are knowledgeable about the relevant global trends in the areas of education, science and innovation, </w:t>
            </w:r>
            <w:proofErr w:type="gramStart"/>
            <w:r w:rsidRPr="00BD5494">
              <w:rPr>
                <w:rFonts w:eastAsia="Calibri" w:cs="Calibri"/>
                <w:sz w:val="28"/>
                <w:szCs w:val="28"/>
                <w:lang w:val="en-US" w:eastAsia="ar-SA"/>
              </w:rPr>
              <w:t>who</w:t>
            </w:r>
            <w:proofErr w:type="gramEnd"/>
            <w:r w:rsidRPr="00BD5494">
              <w:rPr>
                <w:rFonts w:eastAsia="Calibri" w:cs="Calibri"/>
                <w:sz w:val="28"/>
                <w:szCs w:val="28"/>
                <w:lang w:val="en-US" w:eastAsia="ar-SA"/>
              </w:rPr>
              <w:t xml:space="preserve"> have experience in education and academic programs, that understand and accept the importance of living and studying abroad.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2</w:t>
            </w:r>
            <w:r w:rsidRPr="00BD5494">
              <w:rPr>
                <w:rFonts w:eastAsia="Calibri" w:cs="Calibri"/>
                <w:b/>
                <w:sz w:val="28"/>
                <w:szCs w:val="28"/>
                <w:lang w:eastAsia="ar-SA"/>
              </w:rPr>
              <w:t>.</w:t>
            </w:r>
            <w:r w:rsidRPr="00BD5494">
              <w:rPr>
                <w:rFonts w:eastAsia="Calibri" w:cs="Calibri"/>
                <w:sz w:val="28"/>
                <w:szCs w:val="28"/>
                <w:lang w:eastAsia="ar-SA"/>
              </w:rPr>
              <w:t>5. Состав Совета назначается сроком до пяти лет. Член Совета может быть назначен на следующий срок.</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w:t>
            </w:r>
            <w:r w:rsidRPr="00BD5494">
              <w:rPr>
                <w:rFonts w:eastAsia="Calibri" w:cs="Calibri"/>
                <w:b/>
                <w:sz w:val="28"/>
                <w:szCs w:val="28"/>
                <w:lang w:val="en-US" w:eastAsia="ar-SA"/>
              </w:rPr>
              <w:t>.</w:t>
            </w:r>
            <w:r w:rsidRPr="00BD5494">
              <w:rPr>
                <w:rFonts w:eastAsia="Calibri" w:cs="Calibri"/>
                <w:sz w:val="28"/>
                <w:szCs w:val="28"/>
                <w:lang w:val="en-US" w:eastAsia="ar-SA"/>
              </w:rPr>
              <w:t>5. The members of the Board shall be appointed for a term of up to five years. A member of the Board may be appointed for a second term of office.</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690"/>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2.6. Вклад членов в стратегическое развитие Университета должен осуществляться так, чтобы избежать любого потенциального конфликта интересов.</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2.6. The contribution of the members of the Board to the University development shall be organized in such a way that any potential conflict of interest is avoided.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3" w:name="_Toc365537966"/>
            <w:r w:rsidRPr="00BD5494">
              <w:rPr>
                <w:b/>
                <w:bCs/>
                <w:kern w:val="32"/>
                <w:sz w:val="28"/>
                <w:szCs w:val="28"/>
                <w:lang w:eastAsia="ar-SA"/>
              </w:rPr>
              <w:t>3. Компетенции/Цели и задачи  Совета</w:t>
            </w:r>
            <w:bookmarkEnd w:id="3"/>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3. Competences/goals and objectives</w:t>
            </w:r>
          </w:p>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of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984"/>
        </w:trPr>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 xml:space="preserve">3.1. Совет действует в качестве экспертно-аналитического и консультативного органа,  связанного с международной деятельностью университета и отчитывается перед Ученым советом. </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3.1. The Board acts as an advisory body related with international activities of the University, and reports to the Academic Board of TSU.</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3.2. К компетенции/целям   и задачам Совета относятся:</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3.2. The competences/goals and objectives of the Board include the following:</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1) мониторинг реализации Программы развития университета, соответствующие рекомендации стратегического характера;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1) monitoring the implementation of the University Development Program, providing recommendations on strategic issues;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 w:val="left" w:pos="1380"/>
                <w:tab w:val="left" w:pos="1418"/>
                <w:tab w:val="left" w:pos="1725"/>
              </w:tabs>
              <w:suppressAutoHyphens/>
              <w:ind w:firstLine="720"/>
              <w:jc w:val="both"/>
              <w:rPr>
                <w:rFonts w:eastAsia="Calibri" w:cs="Calibri"/>
                <w:sz w:val="28"/>
                <w:szCs w:val="28"/>
                <w:lang w:eastAsia="ar-SA"/>
              </w:rPr>
            </w:pPr>
            <w:r w:rsidRPr="00BD5494">
              <w:rPr>
                <w:rFonts w:eastAsia="Calibri" w:cs="Calibri"/>
                <w:sz w:val="28"/>
                <w:szCs w:val="28"/>
                <w:lang w:eastAsia="ar-SA"/>
              </w:rPr>
              <w:t>2) анализ научно-исследовательской деятельности, консультирование по глобальным и стратегическим направлениям исследований;</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2) reviewing research activities, consulting on global and strategic directions of research;</w:t>
            </w:r>
          </w:p>
          <w:p w:rsidR="00BD5494" w:rsidRPr="00BD5494" w:rsidRDefault="00BD5494" w:rsidP="00BD5494">
            <w:pPr>
              <w:tabs>
                <w:tab w:val="left" w:pos="360"/>
              </w:tabs>
              <w:suppressAutoHyphens/>
              <w:ind w:firstLine="720"/>
              <w:jc w:val="both"/>
              <w:rPr>
                <w:rFonts w:eastAsia="Calibri" w:cs="Calibri"/>
                <w:sz w:val="28"/>
                <w:szCs w:val="28"/>
                <w:lang w:val="en-US" w:eastAsia="ar-SA"/>
              </w:rPr>
            </w:pP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3)  принятие решения об установлении образовательных стандартов Университета;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3) decision making on regulating educational standards of the University;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4) определение принципов кадровой политики Университета;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4) defining the principles of human resource policies of the University;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 xml:space="preserve">5) формирование предложений и рекомендаций по интернационализации Университета, включая: </w:t>
            </w:r>
          </w:p>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val="en-US" w:eastAsia="ar-SA"/>
              </w:rPr>
              <w:t>a</w:t>
            </w:r>
            <w:r w:rsidRPr="00BD5494">
              <w:rPr>
                <w:rFonts w:eastAsia="Calibri" w:cs="Calibri"/>
                <w:sz w:val="28"/>
                <w:szCs w:val="28"/>
                <w:lang w:eastAsia="ar-SA"/>
              </w:rPr>
              <w:t>) поддержку привлечения в Университет преподавателей, сотрудников и экспертов с международного рынка;</w:t>
            </w:r>
          </w:p>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val="en-US" w:eastAsia="ar-SA"/>
              </w:rPr>
              <w:t>b</w:t>
            </w:r>
            <w:r w:rsidRPr="00BD5494">
              <w:rPr>
                <w:rFonts w:eastAsia="Calibri" w:cs="Calibri"/>
                <w:sz w:val="28"/>
                <w:szCs w:val="28"/>
                <w:lang w:eastAsia="ar-SA"/>
              </w:rPr>
              <w:t>) поддержку развития сотрудничества между Университетом и ведущими образовательными и исследовательскими центрами мира;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5) offering proposals and giving advice on the University internationalization, including:</w:t>
            </w:r>
          </w:p>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a) assistance in  attracting international lecturers and experts to the University;</w:t>
            </w:r>
          </w:p>
          <w:p w:rsidR="00BD5494" w:rsidRPr="00BD5494" w:rsidRDefault="00BD5494" w:rsidP="00BD5494">
            <w:pPr>
              <w:tabs>
                <w:tab w:val="left" w:pos="360"/>
              </w:tabs>
              <w:suppressAutoHyphens/>
              <w:ind w:firstLine="720"/>
              <w:jc w:val="both"/>
              <w:rPr>
                <w:rFonts w:eastAsia="Calibri" w:cs="Calibri"/>
                <w:sz w:val="28"/>
                <w:szCs w:val="28"/>
                <w:lang w:val="en-US" w:eastAsia="ar-SA"/>
              </w:rPr>
            </w:pPr>
          </w:p>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b) support in developing collaboration between the University and world leading education and research centers;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6) международное продвижение достижений Университета;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6) promoting the University achievements at international level;</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r w:rsidRPr="00BD5494">
              <w:rPr>
                <w:rFonts w:eastAsia="Calibri" w:cs="Calibri"/>
                <w:sz w:val="28"/>
                <w:szCs w:val="28"/>
                <w:lang w:eastAsia="ar-SA"/>
              </w:rPr>
              <w:t>7) консультирование и предоставление рекомендаций председателю в исполнении его функций и предоставление специализированных консультаций Ученому совету или ректору в областях образования, науки и инноваций, имеющих отношение к стратегическим целям и задачам развития Университета;</w:t>
            </w:r>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 xml:space="preserve">7) consulting and giving advice to the Chairman on the performance of his/her duties, and  consulting the Academic Board or the Rector in the areas of education, science and innovations related to the strategic goals and objectives of the University development;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 w:val="left" w:pos="900"/>
              </w:tabs>
              <w:suppressAutoHyphens/>
              <w:ind w:firstLine="720"/>
              <w:jc w:val="both"/>
              <w:rPr>
                <w:rFonts w:eastAsia="Calibri" w:cs="Calibri"/>
                <w:sz w:val="28"/>
                <w:szCs w:val="28"/>
                <w:lang w:eastAsia="ar-SA"/>
              </w:rPr>
            </w:pPr>
            <w:proofErr w:type="gramStart"/>
            <w:r w:rsidRPr="00BD5494">
              <w:rPr>
                <w:rFonts w:eastAsia="Calibri" w:cs="Calibri"/>
                <w:sz w:val="28"/>
                <w:szCs w:val="28"/>
                <w:lang w:eastAsia="ar-SA"/>
              </w:rPr>
              <w:t>8) принятие решения о признании иностранного образования и/или иностранной квалификации, которые не соответствуют условиям, предусмотренным частью 3 статьи 107 Федерального закона «Об образовании в Российской Федерации», в целях организации приема на обучение в Университет, а также доступа к осуществлению в Университете профессиональной деятельности лиц, имеющих такие иностранное образование и (или) иностранную квалификацию;</w:t>
            </w:r>
            <w:proofErr w:type="gramEnd"/>
          </w:p>
        </w:tc>
        <w:tc>
          <w:tcPr>
            <w:tcW w:w="4786" w:type="dxa"/>
            <w:gridSpan w:val="3"/>
            <w:shd w:val="clear" w:color="auto" w:fill="auto"/>
          </w:tcPr>
          <w:p w:rsidR="00BD5494" w:rsidRPr="00BD5494" w:rsidRDefault="00BD5494" w:rsidP="00BD5494">
            <w:pPr>
              <w:tabs>
                <w:tab w:val="left" w:pos="360"/>
              </w:tabs>
              <w:suppressAutoHyphens/>
              <w:ind w:firstLine="720"/>
              <w:jc w:val="both"/>
              <w:rPr>
                <w:rFonts w:eastAsia="Calibri" w:cs="Calibri"/>
                <w:sz w:val="28"/>
                <w:szCs w:val="28"/>
                <w:lang w:val="en-US" w:eastAsia="ar-SA"/>
              </w:rPr>
            </w:pPr>
            <w:r w:rsidRPr="00BD5494">
              <w:rPr>
                <w:rFonts w:eastAsia="Calibri" w:cs="Calibri"/>
                <w:sz w:val="28"/>
                <w:szCs w:val="28"/>
                <w:lang w:val="en-US" w:eastAsia="ar-SA"/>
              </w:rPr>
              <w:t>8) decision making on recognition of a foreign education and/or a foreign qualification that do not comply with the terms and conditions as set out in the item 3 of the Article 107 of the Federal Law "About Education in the Russian Federation" in order to arrange admission to the University, and work there of people with such foreign education and/or a foreign qualification;</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rPr>
                <w:rFonts w:eastAsia="Calibri" w:cs="Calibri"/>
                <w:sz w:val="28"/>
                <w:szCs w:val="28"/>
                <w:lang w:eastAsia="ar-SA"/>
              </w:rPr>
            </w:pPr>
            <w:r w:rsidRPr="00BD5494">
              <w:rPr>
                <w:rFonts w:eastAsia="Calibri" w:cs="Calibri"/>
                <w:sz w:val="28"/>
                <w:szCs w:val="28"/>
                <w:lang w:eastAsia="ar-SA"/>
              </w:rPr>
              <w:t>3.3</w:t>
            </w:r>
            <w:proofErr w:type="gramStart"/>
            <w:r w:rsidRPr="00BD5494">
              <w:rPr>
                <w:rFonts w:eastAsia="Calibri" w:cs="Calibri"/>
                <w:sz w:val="28"/>
                <w:szCs w:val="28"/>
                <w:lang w:eastAsia="ar-SA"/>
              </w:rPr>
              <w:t xml:space="preserve">  Д</w:t>
            </w:r>
            <w:proofErr w:type="gramEnd"/>
            <w:r w:rsidRPr="00BD5494">
              <w:rPr>
                <w:rFonts w:eastAsia="Calibri" w:cs="Calibri"/>
                <w:sz w:val="28"/>
                <w:szCs w:val="28"/>
                <w:lang w:eastAsia="ar-SA"/>
              </w:rPr>
              <w:t xml:space="preserve">ля осуществления своих целей и задач Совет: </w:t>
            </w:r>
          </w:p>
        </w:tc>
        <w:tc>
          <w:tcPr>
            <w:tcW w:w="4786" w:type="dxa"/>
            <w:gridSpan w:val="3"/>
            <w:shd w:val="clear" w:color="auto" w:fill="auto"/>
          </w:tcPr>
          <w:p w:rsidR="00BD5494" w:rsidRPr="00BD5494" w:rsidRDefault="00BD5494" w:rsidP="00BD5494">
            <w:pPr>
              <w:tabs>
                <w:tab w:val="left" w:pos="360"/>
              </w:tabs>
              <w:suppressAutoHyphens/>
              <w:ind w:firstLine="709"/>
              <w:rPr>
                <w:rFonts w:eastAsia="Calibri" w:cs="Calibri"/>
                <w:sz w:val="28"/>
                <w:szCs w:val="28"/>
                <w:lang w:val="en-US" w:eastAsia="ar-SA"/>
              </w:rPr>
            </w:pPr>
            <w:r w:rsidRPr="00BD5494">
              <w:rPr>
                <w:rFonts w:eastAsia="Calibri" w:cs="Calibri"/>
                <w:sz w:val="28"/>
                <w:szCs w:val="28"/>
                <w:lang w:val="en-US" w:eastAsia="ar-SA"/>
              </w:rPr>
              <w:t>3.4 In order to achieve these goals, the Board shall:</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0"/>
        </w:trPr>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1) объединяет усилия в сохранении, укреплении и развитии имеющихся связей в области международной деятельности Университета;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1) combine efforts to maintain, strengthen and develop the existing international contacts of the University;</w:t>
            </w:r>
          </w:p>
          <w:p w:rsidR="00BD5494" w:rsidRPr="00BD5494" w:rsidRDefault="00BD5494" w:rsidP="00BD5494">
            <w:pPr>
              <w:tabs>
                <w:tab w:val="left" w:pos="360"/>
              </w:tabs>
              <w:suppressAutoHyphens/>
              <w:ind w:firstLine="709"/>
              <w:jc w:val="both"/>
              <w:rPr>
                <w:rFonts w:eastAsia="Calibri" w:cs="Calibri"/>
                <w:sz w:val="28"/>
                <w:szCs w:val="28"/>
                <w:lang w:val="en-US" w:eastAsia="ar-SA"/>
              </w:rPr>
            </w:pP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90"/>
        </w:trPr>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2) разрабатывает предложения, направленные на решение проблем международного сотрудничества Университета;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2) develop proposals for solving the problems of international cooperation of the University;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3) учитывает опыт и приоритетные направления развития каждого подразделения Университета;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3) base its work on the experience of each University department and the primary directions of its development;</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4) создаёт информационный банк данных по различным направлениям международной деятельности Университета;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4) create a data bank for different directions of the University’s international activities;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5) организует семинары, конференции, совещания, направленные на развитие международного сотрудничества.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 xml:space="preserve">5) </w:t>
            </w:r>
            <w:proofErr w:type="gramStart"/>
            <w:r w:rsidRPr="00BD5494">
              <w:rPr>
                <w:rFonts w:eastAsia="Calibri" w:cs="Calibri"/>
                <w:sz w:val="28"/>
                <w:szCs w:val="28"/>
                <w:lang w:val="en-US" w:eastAsia="ar-SA"/>
              </w:rPr>
              <w:t>organize</w:t>
            </w:r>
            <w:proofErr w:type="gramEnd"/>
            <w:r w:rsidRPr="00BD5494">
              <w:rPr>
                <w:rFonts w:eastAsia="Calibri" w:cs="Calibri"/>
                <w:sz w:val="28"/>
                <w:szCs w:val="28"/>
                <w:lang w:val="en-US" w:eastAsia="ar-SA"/>
              </w:rPr>
              <w:t xml:space="preserve"> seminars, conferences, and sessions aimed to develop international cooperation.</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4" w:name="_Toc365537967"/>
            <w:r w:rsidRPr="00BD5494">
              <w:rPr>
                <w:b/>
                <w:bCs/>
                <w:kern w:val="32"/>
                <w:sz w:val="28"/>
                <w:szCs w:val="28"/>
                <w:lang w:eastAsia="ar-SA"/>
              </w:rPr>
              <w:t>4. Организация деятельности Совета</w:t>
            </w:r>
            <w:bookmarkEnd w:id="4"/>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4. Organization of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4.1. Совет осуществляет свою деятельность в соответствии с планами работы, утверждаемыми сопредседателями Совета.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4.1. The Board carries out its activities in accordance with the work plans approved by the co-chairmen of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4.2. Заседания Совета проводятся по мере необходимости, но не реже 1-2 раз в год.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4.2. The Board holds the meetings as necessary, at least once-twice a year.  </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4.3. Решения Совета принимаются простым большинством голосов, оформляются соответствующим протоколом и имеют рекомендательный характер.</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4.3. The Board decisions are taken by a simple majority of </w:t>
            </w:r>
            <w:proofErr w:type="gramStart"/>
            <w:r w:rsidRPr="00BD5494">
              <w:rPr>
                <w:rFonts w:eastAsia="Calibri" w:cs="Calibri"/>
                <w:sz w:val="28"/>
                <w:szCs w:val="28"/>
                <w:lang w:val="en-US" w:eastAsia="ar-SA"/>
              </w:rPr>
              <w:t>votes,</w:t>
            </w:r>
            <w:proofErr w:type="gramEnd"/>
            <w:r w:rsidRPr="00BD5494">
              <w:rPr>
                <w:rFonts w:eastAsia="Calibri" w:cs="Calibri"/>
                <w:sz w:val="28"/>
                <w:szCs w:val="28"/>
                <w:lang w:val="en-US" w:eastAsia="ar-SA"/>
              </w:rPr>
              <w:t xml:space="preserve"> are then drawn up by appropriate minutes. These decisions are advisory;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453"/>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4.4. Члены Совета должны присутствовать на заседании Совета. Если член Совета не может присутствовать, то он должен информировать сопредседателя в письменной форме о его решении по повестке заседания.</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4.4. All members of the Board shall be present at each meeting. If a member is unable to attend a meeting, he/she shall provide a co-chairman with his/her decision on the agenda in written form.</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30"/>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4.5. После консультации с членами Совета, сопредседатель может учреждать временные рабочие группы научных экспертов для представления рекомендаций в конкретные сроки по конкретным вопросам.</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4.5. After consulting with the members of the Board, a co-chairman may establish temporary working groups consisted of scientific experts to provide recommendations on certain issues within a certain time period.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4.6. Отчет о работе Совета предоставляется в конце каждого учебного года и утверждается ректором Университета.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4.6. A report on the Board activities is provided at the end of every academic year, and approved by the Rector of the University.</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5" w:name="_Toc365537971"/>
            <w:r w:rsidRPr="00BD5494">
              <w:rPr>
                <w:b/>
                <w:bCs/>
                <w:kern w:val="32"/>
                <w:sz w:val="28"/>
                <w:szCs w:val="28"/>
                <w:lang w:eastAsia="ar-SA"/>
              </w:rPr>
              <w:t>5. Секретариат</w:t>
            </w:r>
            <w:bookmarkEnd w:id="5"/>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r w:rsidRPr="00BD5494">
              <w:rPr>
                <w:b/>
                <w:bCs/>
                <w:kern w:val="32"/>
                <w:sz w:val="28"/>
                <w:szCs w:val="28"/>
                <w:lang w:eastAsia="ar-SA"/>
              </w:rPr>
              <w:t xml:space="preserve">5. </w:t>
            </w:r>
            <w:r w:rsidRPr="00BD5494">
              <w:rPr>
                <w:b/>
                <w:bCs/>
                <w:kern w:val="32"/>
                <w:sz w:val="28"/>
                <w:szCs w:val="28"/>
                <w:lang w:val="en-US" w:eastAsia="ar-SA"/>
              </w:rPr>
              <w:t>Secretariat</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5.1.</w:t>
            </w:r>
            <w:r w:rsidRPr="00BD5494">
              <w:rPr>
                <w:rFonts w:ascii="Calibri" w:eastAsia="Calibri" w:hAnsi="Calibri" w:cs="Calibri"/>
                <w:sz w:val="28"/>
                <w:szCs w:val="28"/>
                <w:lang w:eastAsia="ar-SA"/>
              </w:rPr>
              <w:t xml:space="preserve"> </w:t>
            </w:r>
            <w:r w:rsidRPr="00BD5494">
              <w:rPr>
                <w:rFonts w:eastAsia="Calibri" w:cs="Calibri"/>
                <w:sz w:val="28"/>
                <w:szCs w:val="28"/>
                <w:lang w:eastAsia="ar-SA"/>
              </w:rPr>
              <w:t>Секретарь Совета: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5.1.</w:t>
            </w:r>
            <w:r w:rsidRPr="00BD5494">
              <w:rPr>
                <w:rFonts w:ascii="Calibri" w:eastAsia="Calibri" w:hAnsi="Calibri" w:cs="Calibri"/>
                <w:sz w:val="28"/>
                <w:szCs w:val="28"/>
                <w:lang w:val="en-US" w:eastAsia="ar-SA"/>
              </w:rPr>
              <w:t xml:space="preserve"> </w:t>
            </w:r>
            <w:r w:rsidRPr="00BD5494">
              <w:rPr>
                <w:rFonts w:eastAsia="Calibri"/>
                <w:sz w:val="28"/>
                <w:szCs w:val="28"/>
                <w:lang w:val="en-US" w:eastAsia="ar-SA"/>
              </w:rPr>
              <w:t>The secretary</w:t>
            </w:r>
            <w:r w:rsidRPr="00BD5494">
              <w:rPr>
                <w:rFonts w:eastAsia="Calibri" w:cs="Calibri"/>
                <w:sz w:val="28"/>
                <w:szCs w:val="28"/>
                <w:lang w:val="en-US" w:eastAsia="ar-SA"/>
              </w:rPr>
              <w:t xml:space="preserve"> of the Board shall:</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val="en-US" w:eastAsia="ar-SA"/>
              </w:rPr>
              <w:t>1</w:t>
            </w:r>
            <w:r w:rsidRPr="00BD5494">
              <w:rPr>
                <w:rFonts w:eastAsia="Calibri" w:cs="Calibri"/>
                <w:sz w:val="28"/>
                <w:szCs w:val="28"/>
                <w:lang w:eastAsia="ar-SA"/>
              </w:rPr>
              <w:t>) организует подготовку заседаний Совета;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 prepare meetings of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2) формирует повестки заседаний Совета и представляет их на утверждение сопредседателю Совета;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2) prepare the Board meetings agenda, and submit it for approval to a co-chairman of the Board;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3) контролирует процесс подготовки материалов и проектов документов по вопросам повестки дня заседания Совета;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 xml:space="preserve">3) monitor the process of preparing the materials, and draft documents regarding the agenda of a Board meeting; </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82"/>
        </w:trPr>
        <w:tc>
          <w:tcPr>
            <w:tcW w:w="5070" w:type="dxa"/>
            <w:gridSpan w:val="2"/>
            <w:shd w:val="clear" w:color="auto" w:fill="auto"/>
          </w:tcPr>
          <w:p w:rsidR="00BD5494" w:rsidRPr="00BD5494" w:rsidRDefault="00BD5494" w:rsidP="00BD5494">
            <w:pPr>
              <w:tabs>
                <w:tab w:val="left" w:pos="360"/>
              </w:tabs>
              <w:suppressAutoHyphens/>
              <w:ind w:firstLine="692"/>
              <w:jc w:val="both"/>
              <w:rPr>
                <w:rFonts w:eastAsia="Calibri" w:cs="Calibri"/>
                <w:sz w:val="28"/>
                <w:szCs w:val="28"/>
                <w:lang w:eastAsia="ar-SA"/>
              </w:rPr>
            </w:pPr>
            <w:r w:rsidRPr="00BD5494">
              <w:rPr>
                <w:rFonts w:eastAsia="Calibri" w:cs="Calibri"/>
                <w:sz w:val="28"/>
                <w:szCs w:val="28"/>
                <w:lang w:eastAsia="ar-SA"/>
              </w:rPr>
              <w:t xml:space="preserve">4) обеспечивает своевременное доведение документов до членов Совета и членов временных рабочих групп; </w:t>
            </w:r>
          </w:p>
        </w:tc>
        <w:tc>
          <w:tcPr>
            <w:tcW w:w="4786" w:type="dxa"/>
            <w:gridSpan w:val="3"/>
            <w:shd w:val="clear" w:color="auto" w:fill="auto"/>
          </w:tcPr>
          <w:p w:rsidR="00BD5494" w:rsidRPr="00BD5494" w:rsidRDefault="00BD5494" w:rsidP="00BD5494">
            <w:pPr>
              <w:tabs>
                <w:tab w:val="left" w:pos="360"/>
              </w:tabs>
              <w:suppressAutoHyphens/>
              <w:ind w:firstLine="692"/>
              <w:jc w:val="both"/>
              <w:rPr>
                <w:rFonts w:eastAsia="Calibri" w:cs="Calibri"/>
                <w:sz w:val="28"/>
                <w:szCs w:val="28"/>
                <w:lang w:val="en-US" w:eastAsia="ar-SA"/>
              </w:rPr>
            </w:pPr>
            <w:r w:rsidRPr="00BD5494">
              <w:rPr>
                <w:rFonts w:eastAsia="Calibri" w:cs="Calibri"/>
                <w:sz w:val="28"/>
                <w:szCs w:val="28"/>
                <w:lang w:val="en-US" w:eastAsia="ar-SA"/>
              </w:rPr>
              <w:t>4) provide the timely delivery of documents to the members of the Board, and temporary working groups;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07"/>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5) обеспечивает подготовку протоколов заседаний Совета и выписок из протоколов, размещение протоколов на </w:t>
            </w:r>
            <w:proofErr w:type="gramStart"/>
            <w:r w:rsidRPr="00BD5494">
              <w:rPr>
                <w:rFonts w:eastAsia="Calibri" w:cs="Calibri"/>
                <w:sz w:val="28"/>
                <w:szCs w:val="28"/>
                <w:lang w:eastAsia="ar-SA"/>
              </w:rPr>
              <w:t>интернет-странице</w:t>
            </w:r>
            <w:proofErr w:type="gramEnd"/>
            <w:r w:rsidRPr="00BD5494">
              <w:rPr>
                <w:rFonts w:eastAsia="Calibri" w:cs="Calibri"/>
                <w:sz w:val="28"/>
                <w:szCs w:val="28"/>
                <w:lang w:eastAsia="ar-SA"/>
              </w:rPr>
              <w:t xml:space="preserve"> Совета в рамках корпоративного портала (сайта) Университета;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 provide the preparation of minutes of the Board meetings and abstracts of them, publish minutes of the meetings on the Board’s web page within the framework of the  University’s corporate  web-site;</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6) организует своевременное доведение решений Совета до исполнителей в установленные сроки; </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 timely inform the executors about the Board decisions within the set time limits;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7) контролирует выполнение плана работ Совета и временных рабочих групп и принятых Советом решений;</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 make sure that the Board and temporary working groups implement a work plan and decisions made by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 xml:space="preserve">8) информирует </w:t>
            </w:r>
            <w:proofErr w:type="gramStart"/>
            <w:r w:rsidRPr="00BD5494">
              <w:rPr>
                <w:rFonts w:eastAsia="Calibri" w:cs="Calibri"/>
                <w:sz w:val="28"/>
                <w:szCs w:val="28"/>
                <w:lang w:eastAsia="ar-SA"/>
              </w:rPr>
              <w:t>со-председателей</w:t>
            </w:r>
            <w:proofErr w:type="gramEnd"/>
            <w:r w:rsidRPr="00BD5494">
              <w:rPr>
                <w:rFonts w:eastAsia="Calibri" w:cs="Calibri"/>
                <w:sz w:val="28"/>
                <w:szCs w:val="28"/>
                <w:lang w:eastAsia="ar-SA"/>
              </w:rPr>
              <w:t xml:space="preserve"> Совета о выполнении решений Совета;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8) inform the co-Chairmen of the Board about implementation of the decisions made by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9) докладывает Совету о выполнении плана работы Совета и временных рабочих групп и принятых ими решений;</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9) furnish a report on carrying out the work plans of the Board and temporary working groups, and on decisions adopted by them;</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10) координирует взаимодействие Совета с Ученым советом Университета;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10) coordinate collaboration between the Board and the Academic Board of the University;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5.2. Для выполнения возложенных функций секретарь Совета имеет право запрашивать информацию и документы, необходимые для организации заседания Совета, в подразделениях Университета.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5.2. To perform these duties, the secretary of the Board has the right to request information and documents that are necessary for organizing the Board meetings, and can request it from any departments of the University.</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6" w:name="_Toc365537978"/>
            <w:r w:rsidRPr="00BD5494">
              <w:rPr>
                <w:b/>
                <w:bCs/>
                <w:kern w:val="32"/>
                <w:sz w:val="28"/>
                <w:szCs w:val="28"/>
                <w:lang w:eastAsia="ar-SA"/>
              </w:rPr>
              <w:t>6. Конфиденциальность</w:t>
            </w:r>
            <w:bookmarkEnd w:id="6"/>
            <w:r w:rsidRPr="00BD5494">
              <w:rPr>
                <w:b/>
                <w:bCs/>
                <w:kern w:val="32"/>
                <w:sz w:val="28"/>
                <w:szCs w:val="28"/>
                <w:lang w:eastAsia="ar-SA"/>
              </w:rPr>
              <w:t xml:space="preserve"> и рабочий язык </w:t>
            </w:r>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6. Confidentiality and working language</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6.1. Члены Совета, а также любые другие участники заседания, должны соблюдать конфиденциальный характер заседания и его процедур.</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6.1. The members of the Board, as well as any other participants of a meeting, must respect the confidentiality of the meeting and its proceedings.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6.2. Рабочим языком заседаний Совета является английский и русский язык.</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6.2. The working languages of the meetings of the Board shall be English and Russian.</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6.3. В случае перевода  представленных документов на любой другой язык, кроме английского, только английская и русская версия документа рассматривается как окончательная и обязательная.</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6.3. In cases when documents are translated into any languages other than English, only the English and Russian language version of the document shall be considered as definitive and binding.</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7" w:name="_Toc365537981"/>
            <w:r w:rsidRPr="00BD5494">
              <w:rPr>
                <w:b/>
                <w:bCs/>
                <w:kern w:val="32"/>
                <w:sz w:val="28"/>
                <w:szCs w:val="28"/>
                <w:lang w:eastAsia="ar-SA"/>
              </w:rPr>
              <w:t>7. Срочные вопросы и письменные процедуры</w:t>
            </w:r>
            <w:bookmarkEnd w:id="7"/>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val="en-US" w:eastAsia="ar-SA"/>
              </w:rPr>
              <w:t>7. Urgent Matters and written procedures</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7"/>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7.1. В исключительных случаях, когда обстоятельства не позволяют провести заседание очередной или внеочередной сессии, Совет может принять решение на основе письменной процедуры. Письменная процедура может быть инициирована председателем с согласия других членов Совета.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7.1. In exceptional cases, where circumstances do not allow holding a meeting, either on ordinary or extraordinary session, the Board may make decisions by a written procedure. A written procedure can only be initiated by the Chairman with the consent of other members of the 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50"/>
        </w:trPr>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7.2. Письменная процедура может осуществляться в форме электронного голосования. Члены Совета имеют десять рабочих дней, чтобы утвердить или отклонить решение. Голоса членов Совета, которые не ответили в течение десяти рабочих дней, будут рассматриваться как нейтральные.</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7.2. A written procedure may be carried out as electronic voting. The members of the Board have ten working days to approve or reject a decision. The members of the Board, who have not voted within ten working days, will be considered as being neutral.</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7.3. Секретариат должен немедленно проинформировать членов Совета об итогах письменной процедуры.</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7.3. The Secretary shall immediately inform the Board members about the results of a written procedure.</w:t>
            </w:r>
          </w:p>
        </w:tc>
      </w:tr>
      <w:tr w:rsidR="00BD5494" w:rsidRPr="00BD5494"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keepNext/>
              <w:tabs>
                <w:tab w:val="left" w:pos="360"/>
              </w:tabs>
              <w:suppressAutoHyphens/>
              <w:jc w:val="center"/>
              <w:outlineLvl w:val="0"/>
              <w:rPr>
                <w:b/>
                <w:bCs/>
                <w:kern w:val="32"/>
                <w:sz w:val="28"/>
                <w:szCs w:val="28"/>
                <w:lang w:eastAsia="ar-SA"/>
              </w:rPr>
            </w:pPr>
            <w:bookmarkStart w:id="8" w:name="_Toc365537982"/>
            <w:r w:rsidRPr="00BD5494">
              <w:rPr>
                <w:b/>
                <w:bCs/>
                <w:kern w:val="32"/>
                <w:sz w:val="28"/>
                <w:szCs w:val="28"/>
                <w:lang w:eastAsia="ar-SA"/>
              </w:rPr>
              <w:t>8. Прекращение деятельности Совета</w:t>
            </w:r>
            <w:bookmarkEnd w:id="8"/>
          </w:p>
        </w:tc>
        <w:tc>
          <w:tcPr>
            <w:tcW w:w="4786" w:type="dxa"/>
            <w:gridSpan w:val="3"/>
            <w:shd w:val="clear" w:color="auto" w:fill="auto"/>
          </w:tcPr>
          <w:p w:rsidR="00BD5494" w:rsidRPr="00BD5494" w:rsidRDefault="00BD5494" w:rsidP="00BD5494">
            <w:pPr>
              <w:keepNext/>
              <w:tabs>
                <w:tab w:val="left" w:pos="360"/>
              </w:tabs>
              <w:suppressAutoHyphens/>
              <w:jc w:val="center"/>
              <w:outlineLvl w:val="0"/>
              <w:rPr>
                <w:b/>
                <w:bCs/>
                <w:kern w:val="32"/>
                <w:sz w:val="28"/>
                <w:szCs w:val="28"/>
                <w:lang w:val="en-US" w:eastAsia="ar-SA"/>
              </w:rPr>
            </w:pPr>
            <w:r w:rsidRPr="00BD5494">
              <w:rPr>
                <w:b/>
                <w:bCs/>
                <w:kern w:val="32"/>
                <w:sz w:val="28"/>
                <w:szCs w:val="28"/>
                <w:lang w:eastAsia="ar-SA"/>
              </w:rPr>
              <w:t xml:space="preserve">8. </w:t>
            </w:r>
            <w:proofErr w:type="spellStart"/>
            <w:r w:rsidRPr="00BD5494">
              <w:rPr>
                <w:b/>
                <w:bCs/>
                <w:kern w:val="32"/>
                <w:sz w:val="28"/>
                <w:szCs w:val="28"/>
                <w:lang w:val="de-DE" w:eastAsia="ar-SA"/>
              </w:rPr>
              <w:t>Dismissal</w:t>
            </w:r>
            <w:proofErr w:type="spellEnd"/>
            <w:r w:rsidRPr="00BD5494">
              <w:rPr>
                <w:b/>
                <w:bCs/>
                <w:kern w:val="32"/>
                <w:sz w:val="28"/>
                <w:szCs w:val="28"/>
                <w:lang w:val="de-DE" w:eastAsia="ar-SA"/>
              </w:rPr>
              <w:t xml:space="preserve"> </w:t>
            </w:r>
            <w:proofErr w:type="spellStart"/>
            <w:r w:rsidRPr="00BD5494">
              <w:rPr>
                <w:b/>
                <w:bCs/>
                <w:kern w:val="32"/>
                <w:sz w:val="28"/>
                <w:szCs w:val="28"/>
                <w:lang w:val="de-DE" w:eastAsia="ar-SA"/>
              </w:rPr>
              <w:t>of</w:t>
            </w:r>
            <w:proofErr w:type="spellEnd"/>
            <w:r w:rsidRPr="00BD5494">
              <w:rPr>
                <w:b/>
                <w:bCs/>
                <w:kern w:val="32"/>
                <w:sz w:val="28"/>
                <w:szCs w:val="28"/>
                <w:lang w:val="de-DE" w:eastAsia="ar-SA"/>
              </w:rPr>
              <w:t xml:space="preserve"> </w:t>
            </w:r>
            <w:proofErr w:type="spellStart"/>
            <w:r w:rsidRPr="00BD5494">
              <w:rPr>
                <w:b/>
                <w:bCs/>
                <w:kern w:val="32"/>
                <w:sz w:val="28"/>
                <w:szCs w:val="28"/>
                <w:lang w:val="de-DE" w:eastAsia="ar-SA"/>
              </w:rPr>
              <w:t>the</w:t>
            </w:r>
            <w:proofErr w:type="spellEnd"/>
            <w:r w:rsidRPr="00BD5494">
              <w:rPr>
                <w:b/>
                <w:bCs/>
                <w:kern w:val="32"/>
                <w:sz w:val="28"/>
                <w:szCs w:val="28"/>
                <w:lang w:val="de-DE" w:eastAsia="ar-SA"/>
              </w:rPr>
              <w:t xml:space="preserve"> </w:t>
            </w:r>
            <w:r w:rsidRPr="00BD5494">
              <w:rPr>
                <w:b/>
                <w:bCs/>
                <w:kern w:val="32"/>
                <w:sz w:val="28"/>
                <w:szCs w:val="28"/>
                <w:lang w:val="en-US" w:eastAsia="ar-SA"/>
              </w:rPr>
              <w:t>Board</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690"/>
              <w:jc w:val="both"/>
              <w:rPr>
                <w:rFonts w:eastAsia="Calibri" w:cs="Calibri"/>
                <w:sz w:val="28"/>
                <w:szCs w:val="28"/>
                <w:lang w:eastAsia="ar-SA"/>
              </w:rPr>
            </w:pPr>
            <w:r w:rsidRPr="00BD5494">
              <w:rPr>
                <w:rFonts w:eastAsia="Calibri" w:cs="Calibri"/>
                <w:sz w:val="28"/>
                <w:szCs w:val="28"/>
                <w:lang w:eastAsia="ar-SA"/>
              </w:rPr>
              <w:t>8.1. Совет может прекратить свою деятельность по решению Ученого Совета Университета.</w:t>
            </w:r>
          </w:p>
        </w:tc>
        <w:tc>
          <w:tcPr>
            <w:tcW w:w="4786" w:type="dxa"/>
            <w:gridSpan w:val="3"/>
            <w:shd w:val="clear" w:color="auto" w:fill="auto"/>
          </w:tcPr>
          <w:p w:rsidR="00BD5494" w:rsidRPr="00BD5494" w:rsidRDefault="00BD5494" w:rsidP="00BD5494">
            <w:pPr>
              <w:tabs>
                <w:tab w:val="left" w:pos="360"/>
              </w:tabs>
              <w:suppressAutoHyphens/>
              <w:ind w:firstLine="690"/>
              <w:jc w:val="both"/>
              <w:rPr>
                <w:rFonts w:eastAsia="Calibri" w:cs="Calibri"/>
                <w:sz w:val="28"/>
                <w:szCs w:val="28"/>
                <w:lang w:val="en-US" w:eastAsia="ar-SA"/>
              </w:rPr>
            </w:pPr>
            <w:r w:rsidRPr="00BD5494">
              <w:rPr>
                <w:rFonts w:eastAsia="Calibri" w:cs="Calibri"/>
                <w:sz w:val="28"/>
                <w:szCs w:val="28"/>
                <w:lang w:val="en-US" w:eastAsia="ar-SA"/>
              </w:rPr>
              <w:t>8.1. The Board may be dismissed by the decision of the Academic Board of the University.</w:t>
            </w:r>
          </w:p>
        </w:tc>
      </w:tr>
      <w:tr w:rsidR="00BD5494" w:rsidRPr="00B15422" w:rsidTr="008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70" w:type="dxa"/>
            <w:gridSpan w:val="2"/>
            <w:shd w:val="clear" w:color="auto" w:fill="auto"/>
          </w:tcPr>
          <w:p w:rsidR="00BD5494" w:rsidRPr="00BD5494" w:rsidRDefault="00BD5494" w:rsidP="00BD5494">
            <w:pPr>
              <w:tabs>
                <w:tab w:val="left" w:pos="360"/>
              </w:tabs>
              <w:suppressAutoHyphens/>
              <w:ind w:firstLine="709"/>
              <w:jc w:val="both"/>
              <w:rPr>
                <w:rFonts w:eastAsia="Calibri" w:cs="Calibri"/>
                <w:sz w:val="28"/>
                <w:szCs w:val="28"/>
                <w:lang w:eastAsia="ar-SA"/>
              </w:rPr>
            </w:pPr>
            <w:r w:rsidRPr="00BD5494">
              <w:rPr>
                <w:rFonts w:eastAsia="Calibri" w:cs="Calibri"/>
                <w:sz w:val="28"/>
                <w:szCs w:val="28"/>
                <w:lang w:eastAsia="ar-SA"/>
              </w:rPr>
              <w:t>8.2. Совет может прекратить свою деятельность по решению Совета при согласии ректора, если за это решение проголосует не менее двух третей от общего числа членов Совета.</w:t>
            </w:r>
          </w:p>
        </w:tc>
        <w:tc>
          <w:tcPr>
            <w:tcW w:w="4786" w:type="dxa"/>
            <w:gridSpan w:val="3"/>
            <w:shd w:val="clear" w:color="auto" w:fill="auto"/>
          </w:tcPr>
          <w:p w:rsidR="00BD5494" w:rsidRPr="00BD5494" w:rsidRDefault="00BD5494" w:rsidP="00BD5494">
            <w:pPr>
              <w:tabs>
                <w:tab w:val="left" w:pos="360"/>
              </w:tabs>
              <w:suppressAutoHyphens/>
              <w:ind w:firstLine="709"/>
              <w:jc w:val="both"/>
              <w:rPr>
                <w:rFonts w:eastAsia="Calibri" w:cs="Calibri"/>
                <w:sz w:val="28"/>
                <w:szCs w:val="28"/>
                <w:lang w:val="en-US" w:eastAsia="ar-SA"/>
              </w:rPr>
            </w:pPr>
            <w:r w:rsidRPr="00BD5494">
              <w:rPr>
                <w:rFonts w:eastAsia="Calibri" w:cs="Calibri"/>
                <w:sz w:val="28"/>
                <w:szCs w:val="28"/>
                <w:lang w:val="en-US" w:eastAsia="ar-SA"/>
              </w:rPr>
              <w:t>8.2. The Board may be dismissed by the decision of the Board with the approval of the Rector, if at least two thirds of the members of the Board support this decision.</w:t>
            </w:r>
          </w:p>
        </w:tc>
      </w:tr>
    </w:tbl>
    <w:p w:rsidR="00BD5494" w:rsidRPr="00BD5494" w:rsidRDefault="00BD5494" w:rsidP="00BD5494">
      <w:pPr>
        <w:tabs>
          <w:tab w:val="left" w:pos="360"/>
        </w:tabs>
        <w:suppressAutoHyphens/>
        <w:spacing w:after="200" w:line="276" w:lineRule="auto"/>
        <w:rPr>
          <w:rFonts w:ascii="Calibri" w:eastAsia="Calibri" w:hAnsi="Calibri" w:cs="Calibri"/>
          <w:sz w:val="22"/>
          <w:szCs w:val="22"/>
          <w:lang w:val="en-US" w:eastAsia="ar-SA"/>
        </w:rPr>
      </w:pPr>
    </w:p>
    <w:p w:rsidR="00BD5494" w:rsidRPr="00BD5494" w:rsidRDefault="00BD5494" w:rsidP="00447EAA">
      <w:pPr>
        <w:rPr>
          <w:sz w:val="28"/>
          <w:szCs w:val="28"/>
          <w:lang w:val="en-US"/>
        </w:rPr>
      </w:pPr>
    </w:p>
    <w:p w:rsidR="00447EAA" w:rsidRDefault="00447EAA" w:rsidP="006B4CB6">
      <w:pPr>
        <w:rPr>
          <w:sz w:val="26"/>
          <w:szCs w:val="26"/>
          <w:lang w:val="en-US"/>
        </w:rPr>
      </w:pPr>
    </w:p>
    <w:p w:rsidR="00447EAA" w:rsidRPr="006B4CB6" w:rsidRDefault="00447EAA" w:rsidP="006B4CB6">
      <w:pPr>
        <w:rPr>
          <w:sz w:val="26"/>
          <w:szCs w:val="26"/>
          <w:lang w:val="en-US"/>
        </w:rPr>
      </w:pPr>
    </w:p>
    <w:sectPr w:rsidR="00447EAA" w:rsidRPr="006B4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45EC8"/>
    <w:multiLevelType w:val="hybridMultilevel"/>
    <w:tmpl w:val="A03CB1D0"/>
    <w:lvl w:ilvl="0" w:tplc="7DBC133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0"/>
    <w:rsid w:val="00030ED6"/>
    <w:rsid w:val="0010174B"/>
    <w:rsid w:val="00106E74"/>
    <w:rsid w:val="001154C5"/>
    <w:rsid w:val="00143554"/>
    <w:rsid w:val="00324C60"/>
    <w:rsid w:val="00342F27"/>
    <w:rsid w:val="00396F7B"/>
    <w:rsid w:val="00447EAA"/>
    <w:rsid w:val="00501941"/>
    <w:rsid w:val="00547519"/>
    <w:rsid w:val="005F40FE"/>
    <w:rsid w:val="0063531D"/>
    <w:rsid w:val="00652418"/>
    <w:rsid w:val="0065720E"/>
    <w:rsid w:val="006B4CB6"/>
    <w:rsid w:val="008037A3"/>
    <w:rsid w:val="00810461"/>
    <w:rsid w:val="00823AF4"/>
    <w:rsid w:val="008A55B7"/>
    <w:rsid w:val="008C07D3"/>
    <w:rsid w:val="008C5DF5"/>
    <w:rsid w:val="00922D92"/>
    <w:rsid w:val="00A05B00"/>
    <w:rsid w:val="00AA2D00"/>
    <w:rsid w:val="00AD3101"/>
    <w:rsid w:val="00B15422"/>
    <w:rsid w:val="00B736CD"/>
    <w:rsid w:val="00BC56E6"/>
    <w:rsid w:val="00BD5494"/>
    <w:rsid w:val="00C22B9D"/>
    <w:rsid w:val="00C26627"/>
    <w:rsid w:val="00CD051A"/>
    <w:rsid w:val="00D73C47"/>
    <w:rsid w:val="00F5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3101"/>
    <w:pPr>
      <w:jc w:val="center"/>
    </w:pPr>
    <w:rPr>
      <w:rFonts w:ascii="Arial" w:hAnsi="Arial"/>
      <w:sz w:val="22"/>
      <w:szCs w:val="20"/>
    </w:rPr>
  </w:style>
  <w:style w:type="character" w:customStyle="1" w:styleId="30">
    <w:name w:val="Основной текст 3 Знак"/>
    <w:basedOn w:val="a0"/>
    <w:link w:val="3"/>
    <w:rsid w:val="00AD3101"/>
    <w:rPr>
      <w:rFonts w:ascii="Arial" w:hAnsi="Arial"/>
      <w:sz w:val="22"/>
    </w:rPr>
  </w:style>
  <w:style w:type="paragraph" w:customStyle="1" w:styleId="a3">
    <w:name w:val="Знак Знак Знак Знак Знак Знак Знак Знак Знак Знак"/>
    <w:basedOn w:val="a"/>
    <w:rsid w:val="00AD3101"/>
    <w:pPr>
      <w:spacing w:after="160" w:line="240" w:lineRule="exact"/>
    </w:pPr>
    <w:rPr>
      <w:rFonts w:ascii="Verdana" w:hAnsi="Verdana" w:cs="Verdana"/>
      <w:sz w:val="20"/>
      <w:szCs w:val="20"/>
      <w:lang w:val="en-US" w:eastAsia="en-US"/>
    </w:rPr>
  </w:style>
  <w:style w:type="paragraph" w:styleId="a4">
    <w:name w:val="Body Text Indent"/>
    <w:basedOn w:val="a"/>
    <w:link w:val="a5"/>
    <w:rsid w:val="00CD051A"/>
    <w:pPr>
      <w:spacing w:after="120"/>
      <w:ind w:left="283"/>
    </w:pPr>
  </w:style>
  <w:style w:type="character" w:customStyle="1" w:styleId="a5">
    <w:name w:val="Основной текст с отступом Знак"/>
    <w:basedOn w:val="a0"/>
    <w:link w:val="a4"/>
    <w:rsid w:val="00CD051A"/>
    <w:rPr>
      <w:sz w:val="24"/>
      <w:szCs w:val="24"/>
    </w:rPr>
  </w:style>
  <w:style w:type="paragraph" w:styleId="a6">
    <w:name w:val="Balloon Text"/>
    <w:basedOn w:val="a"/>
    <w:link w:val="a7"/>
    <w:rsid w:val="005F40FE"/>
    <w:rPr>
      <w:rFonts w:ascii="Tahoma" w:hAnsi="Tahoma" w:cs="Tahoma"/>
      <w:sz w:val="16"/>
      <w:szCs w:val="16"/>
    </w:rPr>
  </w:style>
  <w:style w:type="character" w:customStyle="1" w:styleId="a7">
    <w:name w:val="Текст выноски Знак"/>
    <w:basedOn w:val="a0"/>
    <w:link w:val="a6"/>
    <w:rsid w:val="005F40FE"/>
    <w:rPr>
      <w:rFonts w:ascii="Tahoma" w:hAnsi="Tahoma" w:cs="Tahoma"/>
      <w:sz w:val="16"/>
      <w:szCs w:val="16"/>
    </w:rPr>
  </w:style>
  <w:style w:type="table" w:styleId="a8">
    <w:name w:val="Table Grid"/>
    <w:basedOn w:val="a1"/>
    <w:rsid w:val="00A0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D3101"/>
    <w:pPr>
      <w:jc w:val="center"/>
    </w:pPr>
    <w:rPr>
      <w:rFonts w:ascii="Arial" w:hAnsi="Arial"/>
      <w:sz w:val="22"/>
      <w:szCs w:val="20"/>
    </w:rPr>
  </w:style>
  <w:style w:type="character" w:customStyle="1" w:styleId="30">
    <w:name w:val="Основной текст 3 Знак"/>
    <w:basedOn w:val="a0"/>
    <w:link w:val="3"/>
    <w:rsid w:val="00AD3101"/>
    <w:rPr>
      <w:rFonts w:ascii="Arial" w:hAnsi="Arial"/>
      <w:sz w:val="22"/>
    </w:rPr>
  </w:style>
  <w:style w:type="paragraph" w:customStyle="1" w:styleId="a3">
    <w:name w:val="Знак Знак Знак Знак Знак Знак Знак Знак Знак Знак"/>
    <w:basedOn w:val="a"/>
    <w:rsid w:val="00AD3101"/>
    <w:pPr>
      <w:spacing w:after="160" w:line="240" w:lineRule="exact"/>
    </w:pPr>
    <w:rPr>
      <w:rFonts w:ascii="Verdana" w:hAnsi="Verdana" w:cs="Verdana"/>
      <w:sz w:val="20"/>
      <w:szCs w:val="20"/>
      <w:lang w:val="en-US" w:eastAsia="en-US"/>
    </w:rPr>
  </w:style>
  <w:style w:type="paragraph" w:styleId="a4">
    <w:name w:val="Body Text Indent"/>
    <w:basedOn w:val="a"/>
    <w:link w:val="a5"/>
    <w:rsid w:val="00CD051A"/>
    <w:pPr>
      <w:spacing w:after="120"/>
      <w:ind w:left="283"/>
    </w:pPr>
  </w:style>
  <w:style w:type="character" w:customStyle="1" w:styleId="a5">
    <w:name w:val="Основной текст с отступом Знак"/>
    <w:basedOn w:val="a0"/>
    <w:link w:val="a4"/>
    <w:rsid w:val="00CD051A"/>
    <w:rPr>
      <w:sz w:val="24"/>
      <w:szCs w:val="24"/>
    </w:rPr>
  </w:style>
  <w:style w:type="paragraph" w:styleId="a6">
    <w:name w:val="Balloon Text"/>
    <w:basedOn w:val="a"/>
    <w:link w:val="a7"/>
    <w:rsid w:val="005F40FE"/>
    <w:rPr>
      <w:rFonts w:ascii="Tahoma" w:hAnsi="Tahoma" w:cs="Tahoma"/>
      <w:sz w:val="16"/>
      <w:szCs w:val="16"/>
    </w:rPr>
  </w:style>
  <w:style w:type="character" w:customStyle="1" w:styleId="a7">
    <w:name w:val="Текст выноски Знак"/>
    <w:basedOn w:val="a0"/>
    <w:link w:val="a6"/>
    <w:rsid w:val="005F40FE"/>
    <w:rPr>
      <w:rFonts w:ascii="Tahoma" w:hAnsi="Tahoma" w:cs="Tahoma"/>
      <w:sz w:val="16"/>
      <w:szCs w:val="16"/>
    </w:rPr>
  </w:style>
  <w:style w:type="table" w:styleId="a8">
    <w:name w:val="Table Grid"/>
    <w:basedOn w:val="a1"/>
    <w:rsid w:val="00A05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3313</Words>
  <Characters>18886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ТГУ</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administrative unit</cp:lastModifiedBy>
  <cp:revision>6</cp:revision>
  <cp:lastPrinted>2013-11-09T03:37:00Z</cp:lastPrinted>
  <dcterms:created xsi:type="dcterms:W3CDTF">2013-11-09T03:21:00Z</dcterms:created>
  <dcterms:modified xsi:type="dcterms:W3CDTF">2013-11-09T03:38:00Z</dcterms:modified>
</cp:coreProperties>
</file>